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59BC" w14:textId="1F1D8CB3" w:rsidR="00DF714E" w:rsidRDefault="00DF714E"/>
    <w:p w14:paraId="6278A89B" w14:textId="3BDEC34F" w:rsidR="00A53D43" w:rsidRDefault="00A53D43"/>
    <w:p w14:paraId="53E55E6C" w14:textId="5E613704" w:rsidR="00BB0266" w:rsidRDefault="00BB0266"/>
    <w:p w14:paraId="12BD5E5A" w14:textId="1CD918C9" w:rsidR="009F1D38" w:rsidRDefault="00CB3D8E">
      <w:r w:rsidRPr="004A77B7">
        <w:rPr>
          <w:noProof/>
        </w:rPr>
        <mc:AlternateContent>
          <mc:Choice Requires="wps">
            <w:drawing>
              <wp:anchor distT="0" distB="0" distL="114300" distR="114300" simplePos="0" relativeHeight="251663360" behindDoc="0" locked="0" layoutInCell="1" allowOverlap="1" wp14:anchorId="26FB87DC" wp14:editId="20433275">
                <wp:simplePos x="0" y="0"/>
                <wp:positionH relativeFrom="margin">
                  <wp:posOffset>-20955</wp:posOffset>
                </wp:positionH>
                <wp:positionV relativeFrom="paragraph">
                  <wp:posOffset>219710</wp:posOffset>
                </wp:positionV>
                <wp:extent cx="5399405" cy="805180"/>
                <wp:effectExtent l="0" t="0" r="0" b="0"/>
                <wp:wrapNone/>
                <wp:docPr id="14" name="TextBox 14"/>
                <wp:cNvGraphicFramePr/>
                <a:graphic xmlns:a="http://schemas.openxmlformats.org/drawingml/2006/main">
                  <a:graphicData uri="http://schemas.microsoft.com/office/word/2010/wordprocessingShape">
                    <wps:wsp>
                      <wps:cNvSpPr txBox="1"/>
                      <wps:spPr>
                        <a:xfrm>
                          <a:off x="0" y="0"/>
                          <a:ext cx="5399405" cy="805180"/>
                        </a:xfrm>
                        <a:prstGeom prst="rect">
                          <a:avLst/>
                        </a:prstGeom>
                      </wps:spPr>
                      <wps:txbx>
                        <w:txbxContent>
                          <w:p w14:paraId="3FD87B66" w14:textId="66D0F9D9" w:rsidR="009155DC" w:rsidRPr="004A77B7" w:rsidRDefault="009F7AC0" w:rsidP="009155DC">
                            <w:pPr>
                              <w:spacing w:line="1186" w:lineRule="exact"/>
                              <w:rPr>
                                <w:rFonts w:ascii="Raleway Heavy" w:eastAsia="Raleway Heavy" w:hAnsi="Raleway Heavy" w:cs="Raleway Heavy"/>
                                <w:b/>
                                <w:bCs/>
                                <w:color w:val="0B0B0B"/>
                                <w:spacing w:val="15"/>
                                <w:kern w:val="24"/>
                                <w:sz w:val="92"/>
                                <w:szCs w:val="92"/>
                                <w:lang w:val="en-US"/>
                              </w:rPr>
                            </w:pPr>
                            <w:r>
                              <w:rPr>
                                <w:rFonts w:ascii="Raleway Heavy" w:eastAsia="Raleway Heavy" w:hAnsi="Raleway Heavy" w:cs="Raleway Heavy"/>
                                <w:b/>
                                <w:bCs/>
                                <w:color w:val="0B0B0B"/>
                                <w:spacing w:val="15"/>
                                <w:kern w:val="24"/>
                                <w:sz w:val="92"/>
                                <w:szCs w:val="92"/>
                                <w:lang w:val="en-US"/>
                              </w:rPr>
                              <w:t>Inf</w:t>
                            </w:r>
                            <w:r w:rsidR="009102AF">
                              <w:rPr>
                                <w:rFonts w:ascii="Raleway Heavy" w:eastAsia="Raleway Heavy" w:hAnsi="Raleway Heavy" w:cs="Raleway Heavy"/>
                                <w:b/>
                                <w:bCs/>
                                <w:color w:val="0B0B0B"/>
                                <w:spacing w:val="15"/>
                                <w:kern w:val="24"/>
                                <w:sz w:val="92"/>
                                <w:szCs w:val="92"/>
                                <w:lang w:val="en-US"/>
                              </w:rPr>
                              <w:t xml:space="preserve">orme especial </w:t>
                            </w:r>
                          </w:p>
                        </w:txbxContent>
                      </wps:txbx>
                      <wps:bodyPr lIns="0" tIns="0" rIns="0" bIns="0" rtlCol="0" anchor="t">
                        <a:spAutoFit/>
                      </wps:bodyPr>
                    </wps:wsp>
                  </a:graphicData>
                </a:graphic>
              </wp:anchor>
            </w:drawing>
          </mc:Choice>
          <mc:Fallback>
            <w:pict>
              <v:shapetype w14:anchorId="26FB87DC" id="_x0000_t202" coordsize="21600,21600" o:spt="202" path="m,l,21600r21600,l21600,xe">
                <v:stroke joinstyle="miter"/>
                <v:path gradientshapeok="t" o:connecttype="rect"/>
              </v:shapetype>
              <v:shape id="TextBox 14" o:spid="_x0000_s1026" type="#_x0000_t202" style="position:absolute;margin-left:-1.65pt;margin-top:17.3pt;width:425.15pt;height:63.4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" filled="f" stroked="f">
                <v:textbox style="mso-fit-shape-to-text:t" inset="0,0,0,0">
                  <w:txbxContent>
                    <w:p w14:paraId="3FD87B66" w14:textId="66D0F9D9" w:rsidR="009155DC" w:rsidRPr="004A77B7" w:rsidRDefault="009F7AC0" w:rsidP="009155DC">
                      <w:pPr>
                        <w:spacing w:line="1186" w:lineRule="exact"/>
                        <w:rPr>
                          <w:rFonts w:ascii="Raleway Heavy" w:eastAsia="Raleway Heavy" w:hAnsi="Raleway Heavy" w:cs="Raleway Heavy"/>
                          <w:b/>
                          <w:bCs/>
                          <w:color w:val="0B0B0B"/>
                          <w:spacing w:val="15"/>
                          <w:kern w:val="24"/>
                          <w:sz w:val="92"/>
                          <w:szCs w:val="92"/>
                          <w:lang w:val="en-US"/>
                        </w:rPr>
                      </w:pPr>
                      <w:r>
                        <w:rPr>
                          <w:rFonts w:ascii="Raleway Heavy" w:eastAsia="Raleway Heavy" w:hAnsi="Raleway Heavy" w:cs="Raleway Heavy"/>
                          <w:b/>
                          <w:bCs/>
                          <w:color w:val="0B0B0B"/>
                          <w:spacing w:val="15"/>
                          <w:kern w:val="24"/>
                          <w:sz w:val="92"/>
                          <w:szCs w:val="92"/>
                          <w:lang w:val="en-US"/>
                        </w:rPr>
                        <w:t>Inf</w:t>
                      </w:r>
                      <w:r w:rsidR="009102AF">
                        <w:rPr>
                          <w:rFonts w:ascii="Raleway Heavy" w:eastAsia="Raleway Heavy" w:hAnsi="Raleway Heavy" w:cs="Raleway Heavy"/>
                          <w:b/>
                          <w:bCs/>
                          <w:color w:val="0B0B0B"/>
                          <w:spacing w:val="15"/>
                          <w:kern w:val="24"/>
                          <w:sz w:val="92"/>
                          <w:szCs w:val="92"/>
                          <w:lang w:val="en-US"/>
                        </w:rPr>
                        <w:t xml:space="preserve">orme especial </w:t>
                      </w:r>
                    </w:p>
                  </w:txbxContent>
                </v:textbox>
                <w10:wrap anchorx="margin"/>
              </v:shape>
            </w:pict>
          </mc:Fallback>
        </mc:AlternateContent>
      </w:r>
    </w:p>
    <w:p w14:paraId="33125E4B" w14:textId="4599A383" w:rsidR="009F1D38" w:rsidRDefault="009F1D38"/>
    <w:p w14:paraId="52037B8B" w14:textId="44F8158B" w:rsidR="009F1D38" w:rsidRDefault="009F1D38"/>
    <w:p w14:paraId="30448E78" w14:textId="34B407AD" w:rsidR="009F1D38" w:rsidRDefault="009F1D38"/>
    <w:p w14:paraId="7C172453" w14:textId="0916A806" w:rsidR="009F1D38" w:rsidRDefault="009F1D38"/>
    <w:p w14:paraId="162B11AD" w14:textId="4A4DC2A3" w:rsidR="009F1D38" w:rsidRDefault="00CB3D8E">
      <w:r w:rsidRPr="004A77B7">
        <w:rPr>
          <w:noProof/>
        </w:rPr>
        <mc:AlternateContent>
          <mc:Choice Requires="wps">
            <w:drawing>
              <wp:anchor distT="0" distB="0" distL="114300" distR="114300" simplePos="0" relativeHeight="251665408" behindDoc="0" locked="0" layoutInCell="1" allowOverlap="1" wp14:anchorId="09658DEE" wp14:editId="1F0BEAB9">
                <wp:simplePos x="0" y="0"/>
                <wp:positionH relativeFrom="column">
                  <wp:posOffset>-28575</wp:posOffset>
                </wp:positionH>
                <wp:positionV relativeFrom="paragraph">
                  <wp:posOffset>53449</wp:posOffset>
                </wp:positionV>
                <wp:extent cx="5817235" cy="768985"/>
                <wp:effectExtent l="0" t="0" r="0" b="0"/>
                <wp:wrapNone/>
                <wp:docPr id="15" name="TextBox 15"/>
                <wp:cNvGraphicFramePr/>
                <a:graphic xmlns:a="http://schemas.openxmlformats.org/drawingml/2006/main">
                  <a:graphicData uri="http://schemas.microsoft.com/office/word/2010/wordprocessingShape">
                    <wps:wsp>
                      <wps:cNvSpPr txBox="1"/>
                      <wps:spPr>
                        <a:xfrm>
                          <a:off x="0" y="0"/>
                          <a:ext cx="5817235" cy="768985"/>
                        </a:xfrm>
                        <a:prstGeom prst="rect">
                          <a:avLst/>
                        </a:prstGeom>
                      </wps:spPr>
                      <wps:txbx>
                        <w:txbxContent>
                          <w:p w14:paraId="51C93DC5" w14:textId="3023B143" w:rsidR="00FB4E7D" w:rsidRPr="004A77B7" w:rsidRDefault="00F20438" w:rsidP="00FB4E7D">
                            <w:pPr>
                              <w:spacing w:line="1126" w:lineRule="exact"/>
                              <w:rPr>
                                <w:rFonts w:ascii="Raleway" w:eastAsia="Raleway" w:hAnsi="Raleway" w:cs="Raleway"/>
                                <w:color w:val="0B0B0B"/>
                                <w:spacing w:val="14"/>
                                <w:kern w:val="24"/>
                                <w:sz w:val="48"/>
                                <w:szCs w:val="48"/>
                                <w:lang w:val="en-US"/>
                              </w:rPr>
                            </w:pPr>
                            <w:r>
                              <w:rPr>
                                <w:rFonts w:ascii="Raleway" w:eastAsia="Raleway" w:hAnsi="Raleway" w:cs="Raleway"/>
                                <w:color w:val="0B0B0B"/>
                                <w:spacing w:val="14"/>
                                <w:kern w:val="24"/>
                                <w:sz w:val="72"/>
                                <w:szCs w:val="72"/>
                                <w:lang w:val="en-US"/>
                              </w:rPr>
                              <w:t>d</w:t>
                            </w:r>
                            <w:r w:rsidR="009102AF">
                              <w:rPr>
                                <w:rFonts w:ascii="Raleway" w:eastAsia="Raleway" w:hAnsi="Raleway" w:cs="Raleway"/>
                                <w:color w:val="0B0B0B"/>
                                <w:spacing w:val="14"/>
                                <w:kern w:val="24"/>
                                <w:sz w:val="72"/>
                                <w:szCs w:val="72"/>
                                <w:lang w:val="en-US"/>
                              </w:rPr>
                              <w:t xml:space="preserve">e </w:t>
                            </w:r>
                            <w:proofErr w:type="spellStart"/>
                            <w:r w:rsidR="009102AF">
                              <w:rPr>
                                <w:rFonts w:ascii="Raleway" w:eastAsia="Raleway" w:hAnsi="Raleway" w:cs="Raleway"/>
                                <w:color w:val="0B0B0B"/>
                                <w:spacing w:val="14"/>
                                <w:kern w:val="24"/>
                                <w:sz w:val="72"/>
                                <w:szCs w:val="72"/>
                                <w:lang w:val="en-US"/>
                              </w:rPr>
                              <w:t>diagnóstico</w:t>
                            </w:r>
                            <w:proofErr w:type="spellEnd"/>
                            <w:r>
                              <w:rPr>
                                <w:rFonts w:ascii="Raleway" w:eastAsia="Raleway" w:hAnsi="Raleway" w:cs="Raleway"/>
                                <w:color w:val="0B0B0B"/>
                                <w:spacing w:val="14"/>
                                <w:kern w:val="24"/>
                                <w:sz w:val="72"/>
                                <w:szCs w:val="72"/>
                                <w:lang w:val="en-US"/>
                              </w:rPr>
                              <w:t xml:space="preserve"> </w:t>
                            </w:r>
                            <w:r w:rsidR="002A5EB3">
                              <w:rPr>
                                <w:rFonts w:ascii="Raleway" w:eastAsia="Raleway" w:hAnsi="Raleway" w:cs="Raleway"/>
                                <w:color w:val="0B0B0B"/>
                                <w:spacing w:val="14"/>
                                <w:kern w:val="24"/>
                                <w:sz w:val="72"/>
                                <w:szCs w:val="72"/>
                                <w:lang w:val="en-US"/>
                              </w:rPr>
                              <w:t xml:space="preserve">de la </w:t>
                            </w:r>
                            <w:r>
                              <w:rPr>
                                <w:rFonts w:ascii="Raleway" w:eastAsia="Raleway" w:hAnsi="Raleway" w:cs="Raleway"/>
                                <w:color w:val="0B0B0B"/>
                                <w:spacing w:val="14"/>
                                <w:kern w:val="24"/>
                                <w:sz w:val="72"/>
                                <w:szCs w:val="72"/>
                                <w:lang w:val="en-US"/>
                              </w:rPr>
                              <w:t>ATIP</w:t>
                            </w:r>
                          </w:p>
                        </w:txbxContent>
                      </wps:txbx>
                      <wps:bodyPr wrap="square" lIns="0" tIns="0" rIns="0" bIns="0" rtlCol="0" anchor="t">
                        <a:spAutoFit/>
                      </wps:bodyPr>
                    </wps:wsp>
                  </a:graphicData>
                </a:graphic>
                <wp14:sizeRelH relativeFrom="margin">
                  <wp14:pctWidth>0</wp14:pctWidth>
                </wp14:sizeRelH>
              </wp:anchor>
            </w:drawing>
          </mc:Choice>
          <mc:Fallback>
            <w:pict>
              <v:shape w14:anchorId="09658DEE" id="TextBox 15" o:spid="_x0000_s1027" type="#_x0000_t202" style="position:absolute;margin-left:-2.25pt;margin-top:4.2pt;width:458.05pt;height:60.5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" filled="f" stroked="f">
                <v:textbox style="mso-fit-shape-to-text:t" inset="0,0,0,0">
                  <w:txbxContent>
                    <w:p w14:paraId="51C93DC5" w14:textId="3023B143" w:rsidR="00FB4E7D" w:rsidRPr="004A77B7" w:rsidRDefault="00F20438" w:rsidP="00FB4E7D">
                      <w:pPr>
                        <w:spacing w:line="1126" w:lineRule="exact"/>
                        <w:rPr>
                          <w:rFonts w:ascii="Raleway" w:eastAsia="Raleway" w:hAnsi="Raleway" w:cs="Raleway"/>
                          <w:color w:val="0B0B0B"/>
                          <w:spacing w:val="14"/>
                          <w:kern w:val="24"/>
                          <w:sz w:val="48"/>
                          <w:szCs w:val="48"/>
                          <w:lang w:val="en-US"/>
                        </w:rPr>
                      </w:pPr>
                      <w:r>
                        <w:rPr>
                          <w:rFonts w:ascii="Raleway" w:eastAsia="Raleway" w:hAnsi="Raleway" w:cs="Raleway"/>
                          <w:color w:val="0B0B0B"/>
                          <w:spacing w:val="14"/>
                          <w:kern w:val="24"/>
                          <w:sz w:val="72"/>
                          <w:szCs w:val="72"/>
                          <w:lang w:val="en-US"/>
                        </w:rPr>
                        <w:t>d</w:t>
                      </w:r>
                      <w:r w:rsidR="009102AF">
                        <w:rPr>
                          <w:rFonts w:ascii="Raleway" w:eastAsia="Raleway" w:hAnsi="Raleway" w:cs="Raleway"/>
                          <w:color w:val="0B0B0B"/>
                          <w:spacing w:val="14"/>
                          <w:kern w:val="24"/>
                          <w:sz w:val="72"/>
                          <w:szCs w:val="72"/>
                          <w:lang w:val="en-US"/>
                        </w:rPr>
                        <w:t xml:space="preserve">e </w:t>
                      </w:r>
                      <w:proofErr w:type="spellStart"/>
                      <w:r w:rsidR="009102AF">
                        <w:rPr>
                          <w:rFonts w:ascii="Raleway" w:eastAsia="Raleway" w:hAnsi="Raleway" w:cs="Raleway"/>
                          <w:color w:val="0B0B0B"/>
                          <w:spacing w:val="14"/>
                          <w:kern w:val="24"/>
                          <w:sz w:val="72"/>
                          <w:szCs w:val="72"/>
                          <w:lang w:val="en-US"/>
                        </w:rPr>
                        <w:t>diagnóstico</w:t>
                      </w:r>
                      <w:proofErr w:type="spellEnd"/>
                      <w:r>
                        <w:rPr>
                          <w:rFonts w:ascii="Raleway" w:eastAsia="Raleway" w:hAnsi="Raleway" w:cs="Raleway"/>
                          <w:color w:val="0B0B0B"/>
                          <w:spacing w:val="14"/>
                          <w:kern w:val="24"/>
                          <w:sz w:val="72"/>
                          <w:szCs w:val="72"/>
                          <w:lang w:val="en-US"/>
                        </w:rPr>
                        <w:t xml:space="preserve"> </w:t>
                      </w:r>
                      <w:r w:rsidR="002A5EB3">
                        <w:rPr>
                          <w:rFonts w:ascii="Raleway" w:eastAsia="Raleway" w:hAnsi="Raleway" w:cs="Raleway"/>
                          <w:color w:val="0B0B0B"/>
                          <w:spacing w:val="14"/>
                          <w:kern w:val="24"/>
                          <w:sz w:val="72"/>
                          <w:szCs w:val="72"/>
                          <w:lang w:val="en-US"/>
                        </w:rPr>
                        <w:t xml:space="preserve">de la </w:t>
                      </w:r>
                      <w:r>
                        <w:rPr>
                          <w:rFonts w:ascii="Raleway" w:eastAsia="Raleway" w:hAnsi="Raleway" w:cs="Raleway"/>
                          <w:color w:val="0B0B0B"/>
                          <w:spacing w:val="14"/>
                          <w:kern w:val="24"/>
                          <w:sz w:val="72"/>
                          <w:szCs w:val="72"/>
                          <w:lang w:val="en-US"/>
                        </w:rPr>
                        <w:t>ATIP</w:t>
                      </w:r>
                    </w:p>
                  </w:txbxContent>
                </v:textbox>
              </v:shape>
            </w:pict>
          </mc:Fallback>
        </mc:AlternateContent>
      </w:r>
    </w:p>
    <w:p w14:paraId="16E85332" w14:textId="36738D43" w:rsidR="009F1D38" w:rsidRDefault="009F1D38"/>
    <w:p w14:paraId="632E922F" w14:textId="48B928BF" w:rsidR="009F1D38" w:rsidRDefault="009F1D38"/>
    <w:p w14:paraId="15DB6A54" w14:textId="3FD9B4FE" w:rsidR="009F1D38" w:rsidRDefault="009F1D38"/>
    <w:p w14:paraId="711F7CAD" w14:textId="08AD130B" w:rsidR="009F1D38" w:rsidRDefault="009F1D38"/>
    <w:p w14:paraId="5071FE67" w14:textId="5B82F715" w:rsidR="009F1D38" w:rsidRDefault="009F1D38"/>
    <w:p w14:paraId="7B08CAD8" w14:textId="41E8A37D" w:rsidR="009F1D38" w:rsidRDefault="009F1D38"/>
    <w:p w14:paraId="028D4472" w14:textId="33723186" w:rsidR="009F1D38" w:rsidRDefault="009F1D38"/>
    <w:p w14:paraId="69EB9BB2" w14:textId="7EAF2862" w:rsidR="009F1D38" w:rsidRDefault="00CB3D8E">
      <w:r>
        <w:tab/>
      </w:r>
    </w:p>
    <w:p w14:paraId="1C460EF5" w14:textId="39BB5413" w:rsidR="009F1D38" w:rsidRDefault="00CB3D8E">
      <w:r w:rsidRPr="004A77B7">
        <w:rPr>
          <w:noProof/>
        </w:rPr>
        <mc:AlternateContent>
          <mc:Choice Requires="wps">
            <w:drawing>
              <wp:anchor distT="0" distB="0" distL="114300" distR="114300" simplePos="0" relativeHeight="251667456" behindDoc="0" locked="0" layoutInCell="1" allowOverlap="1" wp14:anchorId="129D9FA5" wp14:editId="6C24D87F">
                <wp:simplePos x="0" y="0"/>
                <wp:positionH relativeFrom="margin">
                  <wp:posOffset>62230</wp:posOffset>
                </wp:positionH>
                <wp:positionV relativeFrom="paragraph">
                  <wp:posOffset>40749</wp:posOffset>
                </wp:positionV>
                <wp:extent cx="5486400" cy="818515"/>
                <wp:effectExtent l="0" t="0" r="0" b="0"/>
                <wp:wrapNone/>
                <wp:docPr id="13" name="TextBox 13"/>
                <wp:cNvGraphicFramePr/>
                <a:graphic xmlns:a="http://schemas.openxmlformats.org/drawingml/2006/main">
                  <a:graphicData uri="http://schemas.microsoft.com/office/word/2010/wordprocessingShape">
                    <wps:wsp>
                      <wps:cNvSpPr txBox="1"/>
                      <wps:spPr>
                        <a:xfrm>
                          <a:off x="0" y="0"/>
                          <a:ext cx="5486400" cy="818515"/>
                        </a:xfrm>
                        <a:prstGeom prst="rect">
                          <a:avLst/>
                        </a:prstGeom>
                      </wps:spPr>
                      <wps:txbx>
                        <w:txbxContent>
                          <w:p w14:paraId="72A538E3" w14:textId="217246CC" w:rsidR="004710F0" w:rsidRPr="00976B58" w:rsidRDefault="00F20438" w:rsidP="004710F0">
                            <w:pPr>
                              <w:spacing w:line="0" w:lineRule="atLeast"/>
                              <w:jc w:val="both"/>
                              <w:rPr>
                                <w:rFonts w:ascii="Aptos" w:eastAsia="Raleway" w:hAnsi="Aptos" w:cs="Raleway"/>
                                <w:color w:val="022A3D"/>
                                <w:kern w:val="24"/>
                                <w:sz w:val="32"/>
                                <w:szCs w:val="32"/>
                              </w:rPr>
                            </w:pPr>
                            <w:r w:rsidRPr="00F20438">
                              <w:rPr>
                                <w:rFonts w:ascii="Aptos" w:eastAsia="Raleway" w:hAnsi="Aptos" w:cs="Raleway"/>
                                <w:color w:val="0B0B0B"/>
                                <w:spacing w:val="14"/>
                                <w:kern w:val="24"/>
                                <w:sz w:val="32"/>
                                <w:szCs w:val="32"/>
                              </w:rPr>
                              <w:t>Consultor</w:t>
                            </w:r>
                            <w:r w:rsidR="003B45C3">
                              <w:rPr>
                                <w:rFonts w:ascii="Aptos" w:eastAsia="Raleway" w:hAnsi="Aptos" w:cs="Raleway"/>
                                <w:color w:val="0B0B0B"/>
                                <w:spacing w:val="14"/>
                                <w:kern w:val="24"/>
                                <w:sz w:val="32"/>
                                <w:szCs w:val="32"/>
                              </w:rPr>
                              <w:t>í</w:t>
                            </w:r>
                            <w:r w:rsidRPr="00F20438">
                              <w:rPr>
                                <w:rFonts w:ascii="Aptos" w:eastAsia="Raleway" w:hAnsi="Aptos" w:cs="Raleway"/>
                                <w:color w:val="0B0B0B"/>
                                <w:spacing w:val="14"/>
                                <w:kern w:val="24"/>
                                <w:sz w:val="32"/>
                                <w:szCs w:val="32"/>
                              </w:rPr>
                              <w:t>a para realizar la auditoría técnica integral con enfoque preventivo (ATIP), sobre los actos y contratos del Fondo Adaptación en el marco de su misionalidad.</w:t>
                            </w:r>
                          </w:p>
                        </w:txbxContent>
                      </wps:txbx>
                      <wps:bodyPr wrap="square" lIns="0" tIns="0" rIns="0" bIns="0" rtlCol="0" anchor="t">
                        <a:noAutofit/>
                      </wps:bodyPr>
                    </wps:wsp>
                  </a:graphicData>
                </a:graphic>
                <wp14:sizeRelH relativeFrom="margin">
                  <wp14:pctWidth>0</wp14:pctWidth>
                </wp14:sizeRelH>
                <wp14:sizeRelV relativeFrom="margin">
                  <wp14:pctHeight>0</wp14:pctHeight>
                </wp14:sizeRelV>
              </wp:anchor>
            </w:drawing>
          </mc:Choice>
          <mc:Fallback>
            <w:pict>
              <v:shape w14:anchorId="129D9FA5" id="TextBox 13" o:spid="_x0000_s1028" type="#_x0000_t202" style="position:absolute;margin-left:4.9pt;margin-top:3.2pt;width:6in;height:64.4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" filled="f" stroked="f">
                <v:textbox inset="0,0,0,0">
                  <w:txbxContent>
                    <w:p w14:paraId="72A538E3" w14:textId="217246CC" w:rsidR="004710F0" w:rsidRPr="00976B58" w:rsidRDefault="00F20438" w:rsidP="004710F0">
                      <w:pPr>
                        <w:spacing w:line="0" w:lineRule="atLeast"/>
                        <w:jc w:val="both"/>
                        <w:rPr>
                          <w:rFonts w:ascii="Aptos" w:eastAsia="Raleway" w:hAnsi="Aptos" w:cs="Raleway"/>
                          <w:color w:val="022A3D"/>
                          <w:kern w:val="24"/>
                          <w:sz w:val="32"/>
                          <w:szCs w:val="32"/>
                        </w:rPr>
                      </w:pPr>
                      <w:r w:rsidRPr="00F20438">
                        <w:rPr>
                          <w:rFonts w:ascii="Aptos" w:eastAsia="Raleway" w:hAnsi="Aptos" w:cs="Raleway"/>
                          <w:color w:val="0B0B0B"/>
                          <w:spacing w:val="14"/>
                          <w:kern w:val="24"/>
                          <w:sz w:val="32"/>
                          <w:szCs w:val="32"/>
                        </w:rPr>
                        <w:t>Consultor</w:t>
                      </w:r>
                      <w:r w:rsidR="003B45C3">
                        <w:rPr>
                          <w:rFonts w:ascii="Aptos" w:eastAsia="Raleway" w:hAnsi="Aptos" w:cs="Raleway"/>
                          <w:color w:val="0B0B0B"/>
                          <w:spacing w:val="14"/>
                          <w:kern w:val="24"/>
                          <w:sz w:val="32"/>
                          <w:szCs w:val="32"/>
                        </w:rPr>
                        <w:t>í</w:t>
                      </w:r>
                      <w:r w:rsidRPr="00F20438">
                        <w:rPr>
                          <w:rFonts w:ascii="Aptos" w:eastAsia="Raleway" w:hAnsi="Aptos" w:cs="Raleway"/>
                          <w:color w:val="0B0B0B"/>
                          <w:spacing w:val="14"/>
                          <w:kern w:val="24"/>
                          <w:sz w:val="32"/>
                          <w:szCs w:val="32"/>
                        </w:rPr>
                        <w:t>a para realizar la auditoría técnica integral con enfoque preventivo (ATIP), sobre los actos y contratos del Fondo Adaptación en el marco de su misionalidad.</w:t>
                      </w:r>
                    </w:p>
                  </w:txbxContent>
                </v:textbox>
                <w10:wrap anchorx="margin"/>
              </v:shape>
            </w:pict>
          </mc:Fallback>
        </mc:AlternateContent>
      </w:r>
    </w:p>
    <w:p w14:paraId="3092CFEF" w14:textId="1B82A953" w:rsidR="009F1D38" w:rsidRDefault="009F1D38"/>
    <w:p w14:paraId="28649FC1" w14:textId="08CD11AB" w:rsidR="009F1D38" w:rsidRDefault="009F1D38"/>
    <w:p w14:paraId="4DDA6BFE" w14:textId="47A90BC6" w:rsidR="009F1D38" w:rsidRDefault="009F1D38"/>
    <w:p w14:paraId="43FF75BB" w14:textId="68C92083" w:rsidR="009F1D38" w:rsidRDefault="009F1D38"/>
    <w:p w14:paraId="5111891C" w14:textId="6C3129FC" w:rsidR="009F1D38" w:rsidRDefault="009F1D38"/>
    <w:p w14:paraId="4B17ED6C" w14:textId="3209B6EC" w:rsidR="009F1D38" w:rsidRDefault="009F1D38"/>
    <w:p w14:paraId="3591B1A3" w14:textId="0835F2DC" w:rsidR="009F1D38" w:rsidRDefault="009F1D38"/>
    <w:p w14:paraId="2D48F95D" w14:textId="5D9B68D3" w:rsidR="009F1D38" w:rsidRDefault="009F1D38"/>
    <w:p w14:paraId="21AB5F40" w14:textId="1868019C" w:rsidR="009F1D38" w:rsidRDefault="00CB3D8E">
      <w:r w:rsidRPr="004A77B7">
        <w:rPr>
          <w:noProof/>
        </w:rPr>
        <mc:AlternateContent>
          <mc:Choice Requires="wps">
            <w:drawing>
              <wp:anchor distT="0" distB="0" distL="114300" distR="114300" simplePos="0" relativeHeight="251669504" behindDoc="0" locked="0" layoutInCell="1" allowOverlap="1" wp14:anchorId="53A2875E" wp14:editId="6F9BF344">
                <wp:simplePos x="0" y="0"/>
                <wp:positionH relativeFrom="margin">
                  <wp:posOffset>64026</wp:posOffset>
                </wp:positionH>
                <wp:positionV relativeFrom="paragraph">
                  <wp:posOffset>127087</wp:posOffset>
                </wp:positionV>
                <wp:extent cx="3023870" cy="539115"/>
                <wp:effectExtent l="0" t="0" r="0" b="0"/>
                <wp:wrapNone/>
                <wp:docPr id="16" name="TextBox 16"/>
                <wp:cNvGraphicFramePr/>
                <a:graphic xmlns:a="http://schemas.openxmlformats.org/drawingml/2006/main">
                  <a:graphicData uri="http://schemas.microsoft.com/office/word/2010/wordprocessingShape">
                    <wps:wsp>
                      <wps:cNvSpPr txBox="1"/>
                      <wps:spPr>
                        <a:xfrm>
                          <a:off x="0" y="0"/>
                          <a:ext cx="3023870" cy="539115"/>
                        </a:xfrm>
                        <a:prstGeom prst="rect">
                          <a:avLst/>
                        </a:prstGeom>
                      </wps:spPr>
                      <wps:txbx>
                        <w:txbxContent>
                          <w:p w14:paraId="6CB36A59" w14:textId="42E057DA" w:rsidR="009F7AC0" w:rsidRPr="00976B58" w:rsidRDefault="007B0F8A" w:rsidP="009F7AC0">
                            <w:pPr>
                              <w:spacing w:line="413" w:lineRule="exact"/>
                              <w:rPr>
                                <w:rFonts w:ascii="Raleway Bold" w:eastAsia="Raleway Bold" w:hAnsi="Raleway Bold" w:cs="Raleway Bold"/>
                                <w:b/>
                                <w:bCs/>
                                <w:color w:val="000000"/>
                                <w:kern w:val="24"/>
                                <w:sz w:val="32"/>
                                <w:szCs w:val="32"/>
                                <w:lang w:val="en-US"/>
                              </w:rPr>
                            </w:pPr>
                            <w:proofErr w:type="spellStart"/>
                            <w:r>
                              <w:rPr>
                                <w:rFonts w:ascii="Raleway Bold" w:eastAsia="Raleway Bold" w:hAnsi="Raleway Bold" w:cs="Raleway Bold"/>
                                <w:b/>
                                <w:bCs/>
                                <w:color w:val="000000"/>
                                <w:kern w:val="24"/>
                                <w:sz w:val="32"/>
                                <w:szCs w:val="32"/>
                                <w:lang w:val="en-US"/>
                              </w:rPr>
                              <w:t>Septiembre</w:t>
                            </w:r>
                            <w:proofErr w:type="spellEnd"/>
                            <w:r>
                              <w:rPr>
                                <w:rFonts w:ascii="Raleway Bold" w:eastAsia="Raleway Bold" w:hAnsi="Raleway Bold" w:cs="Raleway Bold"/>
                                <w:b/>
                                <w:bCs/>
                                <w:color w:val="000000"/>
                                <w:kern w:val="24"/>
                                <w:sz w:val="32"/>
                                <w:szCs w:val="32"/>
                                <w:lang w:val="en-US"/>
                              </w:rPr>
                              <w:t xml:space="preserve"> 2</w:t>
                            </w:r>
                            <w:r w:rsidR="009F7AC0" w:rsidRPr="00976B58">
                              <w:rPr>
                                <w:rFonts w:ascii="Raleway Bold" w:eastAsia="Raleway Bold" w:hAnsi="Raleway Bold" w:cs="Raleway Bold"/>
                                <w:b/>
                                <w:bCs/>
                                <w:color w:val="000000"/>
                                <w:kern w:val="24"/>
                                <w:sz w:val="32"/>
                                <w:szCs w:val="32"/>
                                <w:lang w:val="en-US"/>
                              </w:rPr>
                              <w:t xml:space="preserve"> de 2025</w:t>
                            </w:r>
                          </w:p>
                        </w:txbxContent>
                      </wps:txbx>
                      <wps:bodyPr lIns="0" tIns="0" rIns="0" bIns="0" rtlCol="0" anchor="t">
                        <a:spAutoFit/>
                      </wps:bodyPr>
                    </wps:wsp>
                  </a:graphicData>
                </a:graphic>
              </wp:anchor>
            </w:drawing>
          </mc:Choice>
          <mc:Fallback>
            <w:pict>
              <v:shape w14:anchorId="53A2875E" id="TextBox 16" o:spid="_x0000_s1029" type="#_x0000_t202" style="position:absolute;margin-left:5.05pt;margin-top:10pt;width:238.1pt;height:42.45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" filled="f" stroked="f">
                <v:textbox style="mso-fit-shape-to-text:t" inset="0,0,0,0">
                  <w:txbxContent>
                    <w:p w14:paraId="6CB36A59" w14:textId="42E057DA" w:rsidR="009F7AC0" w:rsidRPr="00976B58" w:rsidRDefault="007B0F8A" w:rsidP="009F7AC0">
                      <w:pPr>
                        <w:spacing w:line="413" w:lineRule="exact"/>
                        <w:rPr>
                          <w:rFonts w:ascii="Raleway Bold" w:eastAsia="Raleway Bold" w:hAnsi="Raleway Bold" w:cs="Raleway Bold"/>
                          <w:b/>
                          <w:bCs/>
                          <w:color w:val="000000"/>
                          <w:kern w:val="24"/>
                          <w:sz w:val="32"/>
                          <w:szCs w:val="32"/>
                          <w:lang w:val="en-US"/>
                        </w:rPr>
                      </w:pPr>
                      <w:proofErr w:type="spellStart"/>
                      <w:r>
                        <w:rPr>
                          <w:rFonts w:ascii="Raleway Bold" w:eastAsia="Raleway Bold" w:hAnsi="Raleway Bold" w:cs="Raleway Bold"/>
                          <w:b/>
                          <w:bCs/>
                          <w:color w:val="000000"/>
                          <w:kern w:val="24"/>
                          <w:sz w:val="32"/>
                          <w:szCs w:val="32"/>
                          <w:lang w:val="en-US"/>
                        </w:rPr>
                        <w:t>Septiembre</w:t>
                      </w:r>
                      <w:proofErr w:type="spellEnd"/>
                      <w:r>
                        <w:rPr>
                          <w:rFonts w:ascii="Raleway Bold" w:eastAsia="Raleway Bold" w:hAnsi="Raleway Bold" w:cs="Raleway Bold"/>
                          <w:b/>
                          <w:bCs/>
                          <w:color w:val="000000"/>
                          <w:kern w:val="24"/>
                          <w:sz w:val="32"/>
                          <w:szCs w:val="32"/>
                          <w:lang w:val="en-US"/>
                        </w:rPr>
                        <w:t xml:space="preserve"> 2</w:t>
                      </w:r>
                      <w:r w:rsidR="009F7AC0" w:rsidRPr="00976B58">
                        <w:rPr>
                          <w:rFonts w:ascii="Raleway Bold" w:eastAsia="Raleway Bold" w:hAnsi="Raleway Bold" w:cs="Raleway Bold"/>
                          <w:b/>
                          <w:bCs/>
                          <w:color w:val="000000"/>
                          <w:kern w:val="24"/>
                          <w:sz w:val="32"/>
                          <w:szCs w:val="32"/>
                          <w:lang w:val="en-US"/>
                        </w:rPr>
                        <w:t xml:space="preserve"> de 2025</w:t>
                      </w:r>
                    </w:p>
                  </w:txbxContent>
                </v:textbox>
                <w10:wrap anchorx="margin"/>
              </v:shape>
            </w:pict>
          </mc:Fallback>
        </mc:AlternateContent>
      </w:r>
    </w:p>
    <w:p w14:paraId="17D9DFA4" w14:textId="19002954" w:rsidR="009F1D38" w:rsidRDefault="009F1D38"/>
    <w:p w14:paraId="75DF40DB" w14:textId="4856CE80" w:rsidR="009F1D38" w:rsidRDefault="009F1D38"/>
    <w:p w14:paraId="66F9709A" w14:textId="4FE33D4A" w:rsidR="009F1D38" w:rsidRDefault="009F1D38"/>
    <w:p w14:paraId="600E413F" w14:textId="2F52BEAC" w:rsidR="009F1D38" w:rsidRDefault="009F1D38"/>
    <w:p w14:paraId="355C8EDA" w14:textId="66CF9533" w:rsidR="009F1D38" w:rsidRDefault="009F1D38"/>
    <w:p w14:paraId="64B80967" w14:textId="2E0B8D39" w:rsidR="009F1D38" w:rsidRDefault="009F1D38"/>
    <w:p w14:paraId="1CE18CE5" w14:textId="0647151D" w:rsidR="00BB0266" w:rsidRDefault="00CB3D8E">
      <w:r w:rsidRPr="00997D6A">
        <w:rPr>
          <w:rFonts w:ascii="Arial" w:hAnsi="Arial" w:cs="Arial"/>
          <w:noProof/>
          <w:lang w:eastAsia="es-CO"/>
        </w:rPr>
        <w:drawing>
          <wp:anchor distT="0" distB="0" distL="114300" distR="114300" simplePos="0" relativeHeight="251661312" behindDoc="0" locked="0" layoutInCell="1" allowOverlap="1" wp14:anchorId="7A514E52" wp14:editId="4C3080AE">
            <wp:simplePos x="0" y="0"/>
            <wp:positionH relativeFrom="column">
              <wp:posOffset>2747774</wp:posOffset>
            </wp:positionH>
            <wp:positionV relativeFrom="paragraph">
              <wp:posOffset>328799</wp:posOffset>
            </wp:positionV>
            <wp:extent cx="2628900" cy="401383"/>
            <wp:effectExtent l="0" t="0" r="0" b="0"/>
            <wp:wrapNone/>
            <wp:docPr id="1146547928" name="Imagen 4" descr="Dibujo con letras blancas&#10;&#10;El contenido generado por IA puede ser incorrecto.">
              <a:extLst xmlns:a="http://schemas.openxmlformats.org/drawingml/2006/main">
                <a:ext uri="{FF2B5EF4-FFF2-40B4-BE49-F238E27FC236}">
                  <a16:creationId xmlns:a16="http://schemas.microsoft.com/office/drawing/2014/main" id="{A0C49E86-2AF9-422E-A50E-D114D2D96B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479136" name="Imagen 4" descr="Dibujo con letras blancas&#10;&#10;El contenido generado por IA puede ser incorrecto.">
                      <a:extLst>
                        <a:ext uri="{FF2B5EF4-FFF2-40B4-BE49-F238E27FC236}">
                          <a16:creationId xmlns:a16="http://schemas.microsoft.com/office/drawing/2014/main" id="{A0C49E86-2AF9-422E-A50E-D114D2D96B0D}"/>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8900" cy="4013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D5FDF">
        <w:rPr>
          <w:rFonts w:ascii="Arial" w:hAnsi="Arial" w:cs="Arial"/>
          <w:b/>
          <w:bCs/>
          <w:noProof/>
          <w:sz w:val="22"/>
          <w:szCs w:val="22"/>
        </w:rPr>
        <w:drawing>
          <wp:anchor distT="0" distB="0" distL="114300" distR="114300" simplePos="0" relativeHeight="251659264" behindDoc="0" locked="0" layoutInCell="1" allowOverlap="1" wp14:anchorId="3BC528B0" wp14:editId="34C11ACA">
            <wp:simplePos x="0" y="0"/>
            <wp:positionH relativeFrom="margin">
              <wp:posOffset>78105</wp:posOffset>
            </wp:positionH>
            <wp:positionV relativeFrom="paragraph">
              <wp:posOffset>219075</wp:posOffset>
            </wp:positionV>
            <wp:extent cx="1765300" cy="657225"/>
            <wp:effectExtent l="0" t="0" r="6350" b="9525"/>
            <wp:wrapSquare wrapText="bothSides"/>
            <wp:docPr id="1093373352" name="Imagen 3" descr="Logotipo&#10;&#10;El contenido generado por IA puede ser incorrecto.">
              <a:extLst xmlns:a="http://schemas.openxmlformats.org/drawingml/2006/main">
                <a:ext uri="{FF2B5EF4-FFF2-40B4-BE49-F238E27FC236}">
                  <a16:creationId xmlns:a16="http://schemas.microsoft.com/office/drawing/2014/main" id="{35A7A02E-E184-833D-1B17-C428AD6530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descr="Logotipo&#10;&#10;El contenido generado por IA puede ser incorrecto.">
                      <a:extLst>
                        <a:ext uri="{FF2B5EF4-FFF2-40B4-BE49-F238E27FC236}">
                          <a16:creationId xmlns:a16="http://schemas.microsoft.com/office/drawing/2014/main" id="{35A7A02E-E184-833D-1B17-C428AD653065}"/>
                        </a:ext>
                      </a:extLst>
                    </pic:cNvPr>
                    <pic:cNvPicPr>
                      <a:picLocks noChangeAspect="1"/>
                    </pic:cNvPicPr>
                  </pic:nvPicPr>
                  <pic:blipFill>
                    <a:blip r:embed="rId12" cstate="print">
                      <a:extLst>
                        <a:ext uri="{28A0092B-C50C-407E-A947-70E740481C1C}">
                          <a14:useLocalDpi xmlns:a14="http://schemas.microsoft.com/office/drawing/2010/main" val="0"/>
                        </a:ext>
                      </a:extLst>
                    </a:blip>
                    <a:srcRect t="25470"/>
                    <a:stretch/>
                  </pic:blipFill>
                  <pic:spPr bwMode="auto">
                    <a:xfrm>
                      <a:off x="0" y="0"/>
                      <a:ext cx="1765300" cy="657225"/>
                    </a:xfrm>
                    <a:custGeom>
                      <a:avLst/>
                      <a:gdLst/>
                      <a:ahLst/>
                      <a:cxnLst/>
                      <a:rect l="l" t="t" r="r" b="b"/>
                      <a:pathLst>
                        <a:path w="4141760" h="4377846">
                          <a:moveTo>
                            <a:pt x="0" y="0"/>
                          </a:moveTo>
                          <a:lnTo>
                            <a:pt x="4141760" y="0"/>
                          </a:lnTo>
                          <a:lnTo>
                            <a:pt x="4141760" y="4377846"/>
                          </a:lnTo>
                          <a:lnTo>
                            <a:pt x="0" y="4377846"/>
                          </a:lnTo>
                          <a:close/>
                        </a:path>
                      </a:pathLst>
                    </a:custGeom>
                    <a:noFill/>
                  </pic:spPr>
                </pic:pic>
              </a:graphicData>
            </a:graphic>
            <wp14:sizeRelH relativeFrom="page">
              <wp14:pctWidth>0</wp14:pctWidth>
            </wp14:sizeRelH>
            <wp14:sizeRelV relativeFrom="page">
              <wp14:pctHeight>0</wp14:pctHeight>
            </wp14:sizeRelV>
          </wp:anchor>
        </w:drawing>
      </w:r>
    </w:p>
    <w:tbl>
      <w:tblPr>
        <w:tblStyle w:val="Tablaconcuadrcula"/>
        <w:tblW w:w="9781" w:type="dxa"/>
        <w:tblInd w:w="-147" w:type="dxa"/>
        <w:tblLook w:val="04A0" w:firstRow="1" w:lastRow="0" w:firstColumn="1" w:lastColumn="0" w:noHBand="0" w:noVBand="1"/>
      </w:tblPr>
      <w:tblGrid>
        <w:gridCol w:w="9781"/>
      </w:tblGrid>
      <w:tr w:rsidR="00A53D43" w:rsidRPr="00F20438" w14:paraId="23923D7A" w14:textId="77777777" w:rsidTr="00713117">
        <w:tc>
          <w:tcPr>
            <w:tcW w:w="9781" w:type="dxa"/>
            <w:vAlign w:val="center"/>
          </w:tcPr>
          <w:p w14:paraId="794E002B" w14:textId="77777777" w:rsidR="002A5EB3" w:rsidRDefault="002A5EB3" w:rsidP="002A5EB3">
            <w:pPr>
              <w:pStyle w:val="Prrafodelista"/>
              <w:spacing w:before="120" w:after="120"/>
              <w:rPr>
                <w:rFonts w:asciiTheme="minorHAnsi" w:eastAsia="Arial Narrow" w:hAnsiTheme="minorHAnsi" w:cs="Arial"/>
                <w:b/>
                <w:bCs/>
                <w:color w:val="002465"/>
                <w:sz w:val="20"/>
                <w:szCs w:val="20"/>
              </w:rPr>
            </w:pPr>
          </w:p>
          <w:p w14:paraId="4476DF92" w14:textId="53C64B92" w:rsidR="00A53D43" w:rsidRPr="00F20438" w:rsidRDefault="003B45C3" w:rsidP="00416EF4">
            <w:pPr>
              <w:pStyle w:val="Prrafodelista"/>
              <w:numPr>
                <w:ilvl w:val="0"/>
                <w:numId w:val="16"/>
              </w:numPr>
              <w:spacing w:before="120" w:after="120"/>
              <w:rPr>
                <w:rFonts w:asciiTheme="minorHAnsi" w:eastAsia="Arial Narrow" w:hAnsiTheme="minorHAnsi" w:cs="Arial"/>
                <w:b/>
                <w:bCs/>
                <w:color w:val="002465"/>
                <w:sz w:val="20"/>
                <w:szCs w:val="20"/>
              </w:rPr>
            </w:pPr>
            <w:r>
              <w:rPr>
                <w:rFonts w:asciiTheme="minorHAnsi" w:eastAsia="Arial Narrow" w:hAnsiTheme="minorHAnsi" w:cs="Arial"/>
                <w:b/>
                <w:bCs/>
                <w:color w:val="002465"/>
                <w:sz w:val="20"/>
                <w:szCs w:val="20"/>
              </w:rPr>
              <w:t>DESCRIPCIÓN GENERAL</w:t>
            </w:r>
          </w:p>
          <w:p w14:paraId="4C7C9B65" w14:textId="77777777" w:rsidR="00DE5265" w:rsidRPr="00DE5265" w:rsidRDefault="00DE5265" w:rsidP="000B6CC2">
            <w:pPr>
              <w:spacing w:before="120" w:after="120"/>
              <w:jc w:val="both"/>
              <w:rPr>
                <w:rFonts w:asciiTheme="minorHAnsi" w:eastAsia="Arial Narrow" w:hAnsiTheme="minorHAnsi" w:cs="Arial"/>
                <w:color w:val="000000" w:themeColor="text1"/>
                <w:sz w:val="20"/>
                <w:szCs w:val="20"/>
              </w:rPr>
            </w:pPr>
            <w:r w:rsidRPr="00DE5265">
              <w:rPr>
                <w:rFonts w:asciiTheme="minorHAnsi" w:eastAsia="Arial Narrow" w:hAnsiTheme="minorHAnsi" w:cs="Arial"/>
                <w:color w:val="000000" w:themeColor="text1"/>
                <w:sz w:val="20"/>
                <w:szCs w:val="20"/>
              </w:rPr>
              <w:t>En cumplimiento del objeto contractual del Contrato de Consultoría No. FA-CM-I-S-345-2024, y en el marco de los primeros seis (6) meses de ejecución del mismo, la firma auditora presenta el presente Informe Especial de Diagnóstico Inicial, con el fin de evidenciar el estado de avance, los principales hallazgos, oportunidades de mejora y riesgos identificados en la labor de auditoría ejecutada a la fecha.</w:t>
            </w:r>
          </w:p>
          <w:p w14:paraId="4DC1A906" w14:textId="77777777" w:rsidR="00DE5265" w:rsidRPr="00DE5265" w:rsidRDefault="00DE5265" w:rsidP="000B6CC2">
            <w:pPr>
              <w:spacing w:before="120" w:after="120"/>
              <w:jc w:val="both"/>
              <w:rPr>
                <w:rFonts w:asciiTheme="minorHAnsi" w:eastAsia="Arial Narrow" w:hAnsiTheme="minorHAnsi" w:cs="Arial"/>
                <w:color w:val="000000" w:themeColor="text1"/>
                <w:sz w:val="20"/>
                <w:szCs w:val="20"/>
              </w:rPr>
            </w:pPr>
            <w:r w:rsidRPr="00DE5265">
              <w:rPr>
                <w:rFonts w:asciiTheme="minorHAnsi" w:eastAsia="Arial Narrow" w:hAnsiTheme="minorHAnsi" w:cs="Arial"/>
                <w:color w:val="000000" w:themeColor="text1"/>
                <w:sz w:val="20"/>
                <w:szCs w:val="20"/>
              </w:rPr>
              <w:t>Durante este periodo, se ha realizado un total de 28 auditorías documentales y 5 auditorías con componente documental y de campo, todas concluidas formalmente mediante sus respectivas reuniones de cierre. Esta cobertura ha permitido consolidar un diagnóstico técnico que recoge, por cada componente auditado, las situaciones relevantes identificadas, sus causas raíz, las conclusiones derivadas y las recomendaciones correspondientes, dirigidas a fortalecer la gestión de los sectores y macroproyectos evaluados.</w:t>
            </w:r>
          </w:p>
          <w:p w14:paraId="1A10E374" w14:textId="77777777" w:rsidR="00DE5265" w:rsidRPr="00DE5265" w:rsidRDefault="00DE5265" w:rsidP="000B6CC2">
            <w:pPr>
              <w:spacing w:before="120" w:after="120"/>
              <w:jc w:val="both"/>
              <w:rPr>
                <w:rFonts w:asciiTheme="minorHAnsi" w:eastAsia="Arial Narrow" w:hAnsiTheme="minorHAnsi" w:cs="Arial"/>
                <w:color w:val="000000" w:themeColor="text1"/>
                <w:sz w:val="20"/>
                <w:szCs w:val="20"/>
              </w:rPr>
            </w:pPr>
            <w:r w:rsidRPr="00DE5265">
              <w:rPr>
                <w:rFonts w:asciiTheme="minorHAnsi" w:eastAsia="Arial Narrow" w:hAnsiTheme="minorHAnsi" w:cs="Arial"/>
                <w:color w:val="000000" w:themeColor="text1"/>
                <w:sz w:val="20"/>
                <w:szCs w:val="20"/>
              </w:rPr>
              <w:t>Adicionalmente, se efectuó un análisis comparativo del estado de las oportunidades de mejora que se encontraban en estado abierto al cierre de la anterior ATIP, con aquellas identificadas en el marco de la actual ejecución contractual. Esta revisión permite identificar la trazabilidad, reincidencia o cierre efectivo de las recomendaciones formuladas y establece elementos para valorar la madurez de los procesos de mejoramiento continuo de la entidad.</w:t>
            </w:r>
          </w:p>
          <w:p w14:paraId="7379FC1F" w14:textId="77777777" w:rsidR="00DE5265" w:rsidRDefault="00DE5265" w:rsidP="000B6CC2">
            <w:pPr>
              <w:spacing w:before="240"/>
              <w:jc w:val="both"/>
              <w:rPr>
                <w:rFonts w:asciiTheme="minorHAnsi" w:eastAsia="Arial Narrow" w:hAnsiTheme="minorHAnsi" w:cs="Arial"/>
                <w:color w:val="000000" w:themeColor="text1"/>
                <w:sz w:val="20"/>
                <w:szCs w:val="20"/>
              </w:rPr>
            </w:pPr>
            <w:r w:rsidRPr="00DE5265">
              <w:rPr>
                <w:rFonts w:asciiTheme="minorHAnsi" w:eastAsia="Arial Narrow" w:hAnsiTheme="minorHAnsi" w:cs="Arial"/>
                <w:color w:val="000000" w:themeColor="text1"/>
                <w:sz w:val="20"/>
                <w:szCs w:val="20"/>
              </w:rPr>
              <w:t>A continuación, se presenta de forma resumida el diagnóstico por cada componente auditado:</w:t>
            </w:r>
          </w:p>
          <w:p w14:paraId="57AB24B3" w14:textId="108DFB71" w:rsidR="00A53D43" w:rsidRDefault="00A53D43" w:rsidP="00416EF4">
            <w:pPr>
              <w:pStyle w:val="Prrafodelista"/>
              <w:numPr>
                <w:ilvl w:val="0"/>
                <w:numId w:val="16"/>
              </w:numPr>
              <w:spacing w:before="240" w:after="240"/>
              <w:jc w:val="both"/>
              <w:rPr>
                <w:rFonts w:asciiTheme="minorHAnsi" w:eastAsia="Arial Narrow" w:hAnsiTheme="minorHAnsi" w:cs="Arial"/>
                <w:b/>
                <w:bCs/>
                <w:color w:val="002465"/>
                <w:sz w:val="20"/>
                <w:szCs w:val="20"/>
              </w:rPr>
            </w:pPr>
            <w:r w:rsidRPr="00416EF4">
              <w:rPr>
                <w:rFonts w:asciiTheme="minorHAnsi" w:eastAsia="Arial Narrow" w:hAnsiTheme="minorHAnsi" w:cs="Arial"/>
                <w:b/>
                <w:bCs/>
                <w:color w:val="002465"/>
                <w:sz w:val="20"/>
                <w:szCs w:val="20"/>
              </w:rPr>
              <w:t>COMPONENTE JURÍDICO</w:t>
            </w:r>
          </w:p>
          <w:p w14:paraId="2BA175BF" w14:textId="77777777" w:rsidR="00416EF4" w:rsidRPr="00416EF4" w:rsidRDefault="00416EF4" w:rsidP="00416EF4">
            <w:pPr>
              <w:pStyle w:val="Prrafodelista"/>
              <w:spacing w:before="240" w:after="240"/>
              <w:jc w:val="both"/>
              <w:rPr>
                <w:rFonts w:asciiTheme="minorHAnsi" w:eastAsia="Arial Narrow" w:hAnsiTheme="minorHAnsi" w:cs="Arial"/>
                <w:b/>
                <w:bCs/>
                <w:color w:val="002465"/>
                <w:sz w:val="20"/>
                <w:szCs w:val="20"/>
              </w:rPr>
            </w:pPr>
          </w:p>
          <w:p w14:paraId="5BABD133" w14:textId="5192557C" w:rsidR="00A53D43" w:rsidRPr="00416EF4" w:rsidRDefault="00A53D43" w:rsidP="00416EF4">
            <w:pPr>
              <w:pStyle w:val="Prrafodelista"/>
              <w:numPr>
                <w:ilvl w:val="1"/>
                <w:numId w:val="29"/>
              </w:numPr>
              <w:spacing w:before="240" w:after="120"/>
              <w:ind w:left="1170"/>
              <w:jc w:val="both"/>
              <w:rPr>
                <w:rFonts w:asciiTheme="minorHAnsi" w:eastAsia="Arial Narrow" w:hAnsiTheme="minorHAnsi" w:cs="Arial"/>
                <w:b/>
                <w:bCs/>
                <w:color w:val="002465"/>
                <w:sz w:val="20"/>
                <w:szCs w:val="20"/>
              </w:rPr>
            </w:pPr>
            <w:r w:rsidRPr="00416EF4">
              <w:rPr>
                <w:rFonts w:asciiTheme="minorHAnsi" w:eastAsia="Arial Narrow" w:hAnsiTheme="minorHAnsi" w:cs="Arial"/>
                <w:b/>
                <w:bCs/>
                <w:color w:val="002465"/>
                <w:sz w:val="20"/>
                <w:szCs w:val="20"/>
              </w:rPr>
              <w:t xml:space="preserve">Actividades Realizadas </w:t>
            </w:r>
          </w:p>
          <w:p w14:paraId="1A73D1B3" w14:textId="6B3C5247" w:rsidR="0099050A" w:rsidRPr="00F20438" w:rsidRDefault="005D55B3" w:rsidP="000B6CC2">
            <w:pPr>
              <w:spacing w:before="120" w:after="120"/>
              <w:jc w:val="both"/>
              <w:rPr>
                <w:rFonts w:asciiTheme="minorHAnsi" w:eastAsia="Arial Narrow" w:hAnsiTheme="minorHAnsi" w:cs="Arial"/>
                <w:color w:val="000000" w:themeColor="text1"/>
                <w:sz w:val="20"/>
                <w:szCs w:val="20"/>
              </w:rPr>
            </w:pPr>
            <w:r w:rsidRPr="005D55B3">
              <w:rPr>
                <w:rFonts w:asciiTheme="minorHAnsi" w:eastAsia="Arial Narrow" w:hAnsiTheme="minorHAnsi" w:cs="Arial"/>
                <w:color w:val="000000" w:themeColor="text1"/>
                <w:sz w:val="20"/>
                <w:szCs w:val="20"/>
              </w:rPr>
              <w:t xml:space="preserve">En el marco de la </w:t>
            </w:r>
            <w:r w:rsidRPr="007F08FD">
              <w:rPr>
                <w:rFonts w:asciiTheme="minorHAnsi" w:eastAsia="Arial Narrow" w:hAnsiTheme="minorHAnsi" w:cs="Arial"/>
                <w:color w:val="000000" w:themeColor="text1"/>
                <w:sz w:val="20"/>
                <w:szCs w:val="20"/>
              </w:rPr>
              <w:t xml:space="preserve">auditoría realizada al componente jurídico, se efectuó la revisión de los soportes documentales puestos a disposición de la ATIP, abordando de manera integral las fases precontractual, contractual y </w:t>
            </w:r>
            <w:proofErr w:type="spellStart"/>
            <w:r w:rsidRPr="007F08FD">
              <w:rPr>
                <w:rFonts w:asciiTheme="minorHAnsi" w:eastAsia="Arial Narrow" w:hAnsiTheme="minorHAnsi" w:cs="Arial"/>
                <w:color w:val="000000" w:themeColor="text1"/>
                <w:sz w:val="20"/>
                <w:szCs w:val="20"/>
              </w:rPr>
              <w:t>poscontractual</w:t>
            </w:r>
            <w:proofErr w:type="spellEnd"/>
            <w:r w:rsidRPr="007F08FD">
              <w:rPr>
                <w:rFonts w:asciiTheme="minorHAnsi" w:eastAsia="Arial Narrow" w:hAnsiTheme="minorHAnsi" w:cs="Arial"/>
                <w:color w:val="000000" w:themeColor="text1"/>
                <w:sz w:val="20"/>
                <w:szCs w:val="20"/>
              </w:rPr>
              <w:t xml:space="preserve">. </w:t>
            </w:r>
            <w:r w:rsidR="0099050A" w:rsidRPr="007F08FD">
              <w:rPr>
                <w:rFonts w:asciiTheme="minorHAnsi" w:eastAsia="Arial Narrow" w:hAnsiTheme="minorHAnsi" w:cs="Arial"/>
                <w:color w:val="000000" w:themeColor="text1"/>
                <w:sz w:val="20"/>
                <w:szCs w:val="20"/>
              </w:rPr>
              <w:t>Como resultado de las validaciones efectuadas, se identificaron buenas prácticas jurídicas en la gestión contractual institucional, destacándose</w:t>
            </w:r>
            <w:r w:rsidR="00641F8A" w:rsidRPr="007F08FD">
              <w:rPr>
                <w:rFonts w:asciiTheme="minorHAnsi" w:eastAsia="Arial Narrow" w:hAnsiTheme="minorHAnsi" w:cs="Arial"/>
                <w:color w:val="000000" w:themeColor="text1"/>
                <w:sz w:val="20"/>
                <w:szCs w:val="20"/>
              </w:rPr>
              <w:t xml:space="preserve"> especialmente en las fases de precontractual (planeación) y contractual (ejecución)</w:t>
            </w:r>
            <w:r w:rsidR="0099050A" w:rsidRPr="007F08FD">
              <w:rPr>
                <w:rFonts w:asciiTheme="minorHAnsi" w:eastAsia="Arial Narrow" w:hAnsiTheme="minorHAnsi" w:cs="Arial"/>
                <w:color w:val="000000" w:themeColor="text1"/>
                <w:sz w:val="20"/>
                <w:szCs w:val="20"/>
              </w:rPr>
              <w:t xml:space="preserve"> un cumplimiento general</w:t>
            </w:r>
            <w:r w:rsidR="0099050A" w:rsidRPr="0099050A">
              <w:rPr>
                <w:rFonts w:asciiTheme="minorHAnsi" w:eastAsia="Arial Narrow" w:hAnsiTheme="minorHAnsi" w:cs="Arial"/>
                <w:color w:val="000000" w:themeColor="text1"/>
                <w:sz w:val="20"/>
                <w:szCs w:val="20"/>
              </w:rPr>
              <w:t xml:space="preserve"> </w:t>
            </w:r>
            <w:r w:rsidR="00641F8A" w:rsidRPr="00F20438">
              <w:rPr>
                <w:rFonts w:asciiTheme="minorHAnsi" w:eastAsia="Arial Narrow" w:hAnsiTheme="minorHAnsi" w:cs="Arial"/>
                <w:color w:val="000000" w:themeColor="text1"/>
                <w:sz w:val="20"/>
                <w:szCs w:val="20"/>
              </w:rPr>
              <w:t xml:space="preserve">de los lineamientos establecidos en la normatividad aplicable, tales como el Decreto 4819 de 2010, la Ley 1753 de 2015, el Decreto 1068 de 2015, la Ley 80 de 1993 y la Ley 1150 de </w:t>
            </w:r>
            <w:r w:rsidR="00641F8A">
              <w:rPr>
                <w:rFonts w:asciiTheme="minorHAnsi" w:eastAsia="Arial Narrow" w:hAnsiTheme="minorHAnsi" w:cs="Arial"/>
                <w:color w:val="000000" w:themeColor="text1"/>
                <w:sz w:val="20"/>
                <w:szCs w:val="20"/>
              </w:rPr>
              <w:t>2007.</w:t>
            </w:r>
          </w:p>
          <w:p w14:paraId="40AB0D58" w14:textId="305E0CBD" w:rsidR="00A53D43" w:rsidRPr="00F20438" w:rsidRDefault="00A53D43" w:rsidP="00416EF4">
            <w:pPr>
              <w:pStyle w:val="Prrafodelista"/>
              <w:numPr>
                <w:ilvl w:val="1"/>
                <w:numId w:val="29"/>
              </w:numPr>
              <w:spacing w:before="240" w:after="120"/>
              <w:ind w:left="1170"/>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Situaciones Identificadas</w:t>
            </w:r>
            <w:r w:rsidR="0097372D" w:rsidRPr="00F20438">
              <w:rPr>
                <w:rFonts w:asciiTheme="minorHAnsi" w:eastAsia="Arial Narrow" w:hAnsiTheme="minorHAnsi" w:cs="Arial"/>
                <w:b/>
                <w:bCs/>
                <w:color w:val="002465"/>
                <w:sz w:val="20"/>
                <w:szCs w:val="20"/>
              </w:rPr>
              <w:t xml:space="preserve"> </w:t>
            </w:r>
          </w:p>
          <w:p w14:paraId="7D2BBC23" w14:textId="0BA0DBC4" w:rsidR="00A53D43" w:rsidRDefault="00963F20" w:rsidP="000B6CC2">
            <w:pPr>
              <w:jc w:val="both"/>
              <w:rPr>
                <w:rFonts w:asciiTheme="minorHAnsi" w:eastAsia="Arial Narrow" w:hAnsiTheme="minorHAnsi" w:cs="Arial"/>
                <w:color w:val="000000" w:themeColor="text1"/>
                <w:sz w:val="20"/>
                <w:szCs w:val="20"/>
              </w:rPr>
            </w:pPr>
            <w:r w:rsidRPr="00963F20">
              <w:rPr>
                <w:rFonts w:asciiTheme="minorHAnsi" w:eastAsia="Arial Narrow" w:hAnsiTheme="minorHAnsi" w:cs="Arial"/>
                <w:color w:val="000000" w:themeColor="text1"/>
                <w:sz w:val="20"/>
                <w:szCs w:val="20"/>
              </w:rPr>
              <w:t>Dentro de los aspectos positivos observados durante el análisis de 33 proyectos y/o contratos, se destacan las siguientes buenas prácticas:</w:t>
            </w:r>
          </w:p>
          <w:p w14:paraId="7E36577A" w14:textId="77777777" w:rsidR="00963F20" w:rsidRPr="00F20438" w:rsidRDefault="00963F20" w:rsidP="000B6CC2">
            <w:pPr>
              <w:jc w:val="both"/>
              <w:rPr>
                <w:rFonts w:asciiTheme="minorHAnsi" w:eastAsia="Arial Narrow" w:hAnsiTheme="minorHAnsi" w:cs="Arial"/>
                <w:color w:val="000000" w:themeColor="text1"/>
                <w:sz w:val="20"/>
                <w:szCs w:val="20"/>
              </w:rPr>
            </w:pPr>
          </w:p>
          <w:p w14:paraId="032FCF75" w14:textId="77777777" w:rsidR="000F1FFF" w:rsidRPr="000F1FFF" w:rsidRDefault="000F1FFF" w:rsidP="00416EF4">
            <w:pPr>
              <w:pStyle w:val="Prrafodelista"/>
              <w:numPr>
                <w:ilvl w:val="0"/>
                <w:numId w:val="30"/>
              </w:numPr>
              <w:jc w:val="both"/>
              <w:rPr>
                <w:rFonts w:asciiTheme="minorHAnsi" w:eastAsia="Arial Narrow" w:hAnsiTheme="minorHAnsi" w:cs="Arial"/>
                <w:color w:val="000000" w:themeColor="text1"/>
                <w:sz w:val="20"/>
                <w:szCs w:val="20"/>
              </w:rPr>
            </w:pPr>
            <w:r w:rsidRPr="000F1FFF">
              <w:rPr>
                <w:rFonts w:asciiTheme="minorHAnsi" w:eastAsia="Arial Narrow" w:hAnsiTheme="minorHAnsi" w:cs="Arial"/>
                <w:color w:val="000000" w:themeColor="text1"/>
                <w:sz w:val="20"/>
                <w:szCs w:val="20"/>
              </w:rPr>
              <w:t>Planeación contractual adecuada y documentada.</w:t>
            </w:r>
          </w:p>
          <w:p w14:paraId="78F98434" w14:textId="77777777" w:rsidR="00A53D43" w:rsidRPr="00F20438" w:rsidRDefault="00A53D43" w:rsidP="00416EF4">
            <w:pPr>
              <w:numPr>
                <w:ilvl w:val="0"/>
                <w:numId w:val="30"/>
              </w:numPr>
              <w:spacing w:before="120" w:after="12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El cumplimiento de las condiciones en los procesos licitatorios y en las contrataciones directas,</w:t>
            </w:r>
          </w:p>
          <w:p w14:paraId="32002671" w14:textId="13F76D85" w:rsidR="007E2C45" w:rsidRDefault="007E2C45" w:rsidP="00416EF4">
            <w:pPr>
              <w:pStyle w:val="Prrafodelista"/>
              <w:numPr>
                <w:ilvl w:val="0"/>
                <w:numId w:val="30"/>
              </w:numPr>
              <w:jc w:val="both"/>
              <w:rPr>
                <w:rFonts w:asciiTheme="minorHAnsi" w:eastAsia="Arial Narrow" w:hAnsiTheme="minorHAnsi" w:cs="Arial"/>
                <w:color w:val="000000" w:themeColor="text1"/>
                <w:sz w:val="20"/>
                <w:szCs w:val="20"/>
              </w:rPr>
            </w:pPr>
            <w:r w:rsidRPr="007E2C45">
              <w:rPr>
                <w:rFonts w:asciiTheme="minorHAnsi" w:eastAsia="Arial Narrow" w:hAnsiTheme="minorHAnsi" w:cs="Arial"/>
                <w:color w:val="000000" w:themeColor="text1"/>
                <w:sz w:val="20"/>
                <w:szCs w:val="20"/>
              </w:rPr>
              <w:t>Manejo correcto y conforme del Sistema Electrónico para la Contratación Pública – SECOP, evidenciando trazabilidad de las actuaciones contractuales.</w:t>
            </w:r>
          </w:p>
          <w:p w14:paraId="608A9CA4" w14:textId="77777777" w:rsidR="00781DFD" w:rsidRPr="007E2C45" w:rsidRDefault="00781DFD" w:rsidP="00781DFD">
            <w:pPr>
              <w:pStyle w:val="Prrafodelista"/>
              <w:jc w:val="both"/>
              <w:rPr>
                <w:rFonts w:asciiTheme="minorHAnsi" w:eastAsia="Arial Narrow" w:hAnsiTheme="minorHAnsi" w:cs="Arial"/>
                <w:color w:val="000000" w:themeColor="text1"/>
                <w:sz w:val="20"/>
                <w:szCs w:val="20"/>
              </w:rPr>
            </w:pPr>
          </w:p>
          <w:p w14:paraId="1B9BCD35" w14:textId="77777777" w:rsidR="000B6CC2" w:rsidRPr="000B6CC2" w:rsidRDefault="000B6CC2" w:rsidP="000B6CC2">
            <w:pPr>
              <w:jc w:val="both"/>
              <w:rPr>
                <w:rFonts w:asciiTheme="minorHAnsi" w:eastAsia="Arial Narrow" w:hAnsiTheme="minorHAnsi" w:cs="Arial"/>
                <w:color w:val="000000" w:themeColor="text1"/>
                <w:sz w:val="20"/>
                <w:szCs w:val="20"/>
              </w:rPr>
            </w:pPr>
            <w:r w:rsidRPr="000B6CC2">
              <w:rPr>
                <w:rFonts w:asciiTheme="minorHAnsi" w:eastAsia="Arial Narrow" w:hAnsiTheme="minorHAnsi" w:cs="Arial"/>
                <w:color w:val="000000" w:themeColor="text1"/>
                <w:sz w:val="20"/>
                <w:szCs w:val="20"/>
              </w:rPr>
              <w:t xml:space="preserve">No obstante, se identificó una situación jurídica relevante relacionada con la contratación de cajas de compensación familiar como operadores zonales, encargados de ejecutar actividades de construcción, reubicación y entrega de soluciones de vivienda. En varios casos, estos contratos no alcanzaron los resultados </w:t>
            </w:r>
            <w:r w:rsidRPr="000B6CC2">
              <w:rPr>
                <w:rFonts w:asciiTheme="minorHAnsi" w:eastAsia="Arial Narrow" w:hAnsiTheme="minorHAnsi" w:cs="Arial"/>
                <w:color w:val="000000" w:themeColor="text1"/>
                <w:sz w:val="20"/>
                <w:szCs w:val="20"/>
              </w:rPr>
              <w:lastRenderedPageBreak/>
              <w:t>esperados, derivando en la apertura de procesos administrativos sancionatorios o en la configuración de controversias judiciales aún en curso. Esta situación ya ha sido reconocida por el Fondo Adaptación, el cual ha optado por no continuar vinculando a estas entidades como operadores en futuros procesos contractuales.</w:t>
            </w:r>
          </w:p>
          <w:p w14:paraId="464A2491" w14:textId="77777777" w:rsidR="000B6CC2" w:rsidRPr="000B6CC2" w:rsidRDefault="000B6CC2" w:rsidP="000B6CC2">
            <w:pPr>
              <w:spacing w:before="120" w:after="120"/>
              <w:jc w:val="both"/>
              <w:rPr>
                <w:rFonts w:asciiTheme="minorHAnsi" w:eastAsia="Arial Narrow" w:hAnsiTheme="minorHAnsi" w:cs="Arial"/>
                <w:color w:val="000000" w:themeColor="text1"/>
                <w:sz w:val="20"/>
                <w:szCs w:val="20"/>
              </w:rPr>
            </w:pPr>
            <w:r w:rsidRPr="000B6CC2">
              <w:rPr>
                <w:rFonts w:asciiTheme="minorHAnsi" w:eastAsia="Arial Narrow" w:hAnsiTheme="minorHAnsi" w:cs="Arial"/>
                <w:color w:val="000000" w:themeColor="text1"/>
                <w:sz w:val="20"/>
                <w:szCs w:val="20"/>
              </w:rPr>
              <w:t>Asimismo, se verificó que la gestión de garantías contractuales ha cumplido con lo pactado, tanto en términos de cobertura como de vigencia, evidenciando un control adecuado del riesgo contractual.</w:t>
            </w:r>
          </w:p>
          <w:p w14:paraId="3AA0FF2A" w14:textId="728B87CB" w:rsidR="000B6CC2" w:rsidRDefault="000B6CC2" w:rsidP="000B6CC2">
            <w:pPr>
              <w:spacing w:before="120" w:after="120"/>
              <w:jc w:val="both"/>
              <w:rPr>
                <w:rFonts w:asciiTheme="minorHAnsi" w:eastAsia="Arial Narrow" w:hAnsiTheme="minorHAnsi" w:cs="Arial"/>
                <w:color w:val="000000" w:themeColor="text1"/>
                <w:sz w:val="20"/>
                <w:szCs w:val="20"/>
              </w:rPr>
            </w:pPr>
            <w:r w:rsidRPr="000B6CC2">
              <w:rPr>
                <w:rFonts w:asciiTheme="minorHAnsi" w:eastAsia="Arial Narrow" w:hAnsiTheme="minorHAnsi" w:cs="Arial"/>
                <w:color w:val="000000" w:themeColor="text1"/>
                <w:sz w:val="20"/>
                <w:szCs w:val="20"/>
              </w:rPr>
              <w:t>Se revisaron también referencias contenidas en informes de auditoría de la Contraloría General de la República, en los cuales se señala el incumplimiento parcial de ciertos objetos contractuales, situación que ha derivado en la necesidad de replantear la ejecución de algunos proyectos</w:t>
            </w:r>
            <w:r w:rsidR="00781DFD">
              <w:rPr>
                <w:rFonts w:asciiTheme="minorHAnsi" w:eastAsia="Arial Narrow" w:hAnsiTheme="minorHAnsi" w:cs="Arial"/>
                <w:color w:val="000000" w:themeColor="text1"/>
                <w:sz w:val="20"/>
                <w:szCs w:val="20"/>
              </w:rPr>
              <w:t>.</w:t>
            </w:r>
          </w:p>
          <w:p w14:paraId="58EBA2FD" w14:textId="231B879A" w:rsidR="00A53D43" w:rsidRPr="00F20438" w:rsidRDefault="00A53D43" w:rsidP="00416EF4">
            <w:pPr>
              <w:pStyle w:val="Prrafodelista"/>
              <w:numPr>
                <w:ilvl w:val="1"/>
                <w:numId w:val="29"/>
              </w:numPr>
              <w:spacing w:before="240" w:after="120"/>
              <w:ind w:left="1170"/>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 xml:space="preserve">Recomendaciones </w:t>
            </w:r>
          </w:p>
          <w:p w14:paraId="6D065C9F" w14:textId="3BC78836" w:rsidR="00726DDB" w:rsidRDefault="00726DDB" w:rsidP="00A53D43">
            <w:pPr>
              <w:spacing w:before="120" w:after="120"/>
              <w:jc w:val="both"/>
              <w:rPr>
                <w:rFonts w:asciiTheme="minorHAnsi" w:eastAsia="Arial Narrow" w:hAnsiTheme="minorHAnsi" w:cs="Arial"/>
                <w:color w:val="000000" w:themeColor="text1"/>
                <w:sz w:val="20"/>
                <w:szCs w:val="20"/>
              </w:rPr>
            </w:pPr>
            <w:r w:rsidRPr="00726DDB">
              <w:rPr>
                <w:rFonts w:asciiTheme="minorHAnsi" w:eastAsia="Arial Narrow" w:hAnsiTheme="minorHAnsi" w:cs="Arial"/>
                <w:color w:val="000000" w:themeColor="text1"/>
                <w:sz w:val="20"/>
                <w:szCs w:val="20"/>
              </w:rPr>
              <w:t xml:space="preserve">Como resultado del análisis realizado al componente jurídico, no se identificaron oportunidades de mejora estructurales; sin embargo, se formulan algunas recomendaciones puntuales orientadas a fortalecer la organización, completitud y trazabilidad de los soportes documentales en los repositorios institucionales, así como a documentar de manera clara y actualizada el estado y los avances de las acciones derivadas de </w:t>
            </w:r>
            <w:r>
              <w:rPr>
                <w:rFonts w:asciiTheme="minorHAnsi" w:eastAsia="Arial Narrow" w:hAnsiTheme="minorHAnsi" w:cs="Arial"/>
                <w:color w:val="000000" w:themeColor="text1"/>
                <w:sz w:val="20"/>
                <w:szCs w:val="20"/>
              </w:rPr>
              <w:t>“</w:t>
            </w:r>
            <w:r w:rsidRPr="00726DDB">
              <w:rPr>
                <w:rFonts w:asciiTheme="minorHAnsi" w:eastAsia="Arial Narrow" w:hAnsiTheme="minorHAnsi" w:cs="Arial"/>
                <w:color w:val="000000" w:themeColor="text1"/>
                <w:sz w:val="20"/>
                <w:szCs w:val="20"/>
              </w:rPr>
              <w:t>controversias contractuales</w:t>
            </w:r>
            <w:r>
              <w:rPr>
                <w:rFonts w:asciiTheme="minorHAnsi" w:eastAsia="Arial Narrow" w:hAnsiTheme="minorHAnsi" w:cs="Arial"/>
                <w:color w:val="000000" w:themeColor="text1"/>
                <w:sz w:val="20"/>
                <w:szCs w:val="20"/>
              </w:rPr>
              <w:t>”</w:t>
            </w:r>
            <w:r w:rsidRPr="00726DDB">
              <w:rPr>
                <w:rFonts w:asciiTheme="minorHAnsi" w:eastAsia="Arial Narrow" w:hAnsiTheme="minorHAnsi" w:cs="Arial"/>
                <w:color w:val="000000" w:themeColor="text1"/>
                <w:sz w:val="20"/>
                <w:szCs w:val="20"/>
              </w:rPr>
              <w:t xml:space="preserve"> actualmente en curso. </w:t>
            </w:r>
          </w:p>
          <w:p w14:paraId="5E0E2111" w14:textId="77777777" w:rsidR="00726DDB" w:rsidRDefault="00726DDB" w:rsidP="00A53D43">
            <w:pPr>
              <w:spacing w:before="120" w:after="120"/>
              <w:jc w:val="both"/>
              <w:rPr>
                <w:rFonts w:asciiTheme="minorHAnsi" w:eastAsia="Arial Narrow" w:hAnsiTheme="minorHAnsi" w:cs="Arial"/>
                <w:color w:val="000000" w:themeColor="text1"/>
                <w:sz w:val="20"/>
                <w:szCs w:val="20"/>
              </w:rPr>
            </w:pPr>
            <w:r w:rsidRPr="00726DDB">
              <w:rPr>
                <w:rFonts w:asciiTheme="minorHAnsi" w:eastAsia="Arial Narrow" w:hAnsiTheme="minorHAnsi" w:cs="Arial"/>
                <w:color w:val="000000" w:themeColor="text1"/>
                <w:sz w:val="20"/>
                <w:szCs w:val="20"/>
              </w:rPr>
              <w:t>Estas observaciones reflejan el compromiso del Fondo Adaptación con la transparencia, la eficiencia y el fortalecimiento de la gestión contractual, en coherencia con sus principios y objetivos misionales.</w:t>
            </w:r>
          </w:p>
          <w:p w14:paraId="72EAF094" w14:textId="1A4A3061" w:rsidR="00A53D43" w:rsidRPr="00416EF4" w:rsidRDefault="00A53D43" w:rsidP="00416EF4">
            <w:pPr>
              <w:pStyle w:val="Prrafodelista"/>
              <w:numPr>
                <w:ilvl w:val="0"/>
                <w:numId w:val="16"/>
              </w:numPr>
              <w:spacing w:before="240" w:after="240"/>
              <w:jc w:val="both"/>
              <w:rPr>
                <w:rFonts w:asciiTheme="minorHAnsi" w:eastAsia="Arial Narrow" w:hAnsiTheme="minorHAnsi" w:cs="Arial"/>
                <w:b/>
                <w:bCs/>
                <w:color w:val="002465"/>
                <w:sz w:val="20"/>
                <w:szCs w:val="20"/>
              </w:rPr>
            </w:pPr>
            <w:r w:rsidRPr="00416EF4">
              <w:rPr>
                <w:rFonts w:asciiTheme="minorHAnsi" w:eastAsia="Arial Narrow" w:hAnsiTheme="minorHAnsi" w:cs="Arial"/>
                <w:b/>
                <w:bCs/>
                <w:color w:val="002465"/>
                <w:sz w:val="20"/>
                <w:szCs w:val="20"/>
              </w:rPr>
              <w:t>COMPONENTE FINANCIERO</w:t>
            </w:r>
          </w:p>
          <w:p w14:paraId="6A31E99F" w14:textId="77777777" w:rsidR="00867D85" w:rsidRPr="00726DDB" w:rsidRDefault="00867D85" w:rsidP="00867D85">
            <w:pPr>
              <w:pStyle w:val="Prrafodelista"/>
              <w:spacing w:before="240" w:after="240"/>
              <w:jc w:val="both"/>
              <w:rPr>
                <w:rFonts w:asciiTheme="minorHAnsi" w:eastAsia="Arial Narrow" w:hAnsiTheme="minorHAnsi" w:cs="Arial"/>
                <w:b/>
                <w:bCs/>
                <w:color w:val="002465"/>
                <w:sz w:val="20"/>
                <w:szCs w:val="20"/>
              </w:rPr>
            </w:pPr>
          </w:p>
          <w:p w14:paraId="6BE67514" w14:textId="1238ED66" w:rsidR="00A53D43" w:rsidRPr="00416EF4" w:rsidRDefault="00A53D43" w:rsidP="00416EF4">
            <w:pPr>
              <w:pStyle w:val="Prrafodelista"/>
              <w:numPr>
                <w:ilvl w:val="1"/>
                <w:numId w:val="32"/>
              </w:numPr>
              <w:spacing w:before="240" w:after="120"/>
              <w:ind w:left="1170"/>
              <w:jc w:val="both"/>
              <w:rPr>
                <w:rFonts w:asciiTheme="minorHAnsi" w:eastAsia="Arial Narrow" w:hAnsiTheme="minorHAnsi" w:cs="Arial"/>
                <w:b/>
                <w:bCs/>
                <w:color w:val="002465"/>
                <w:sz w:val="20"/>
                <w:szCs w:val="20"/>
              </w:rPr>
            </w:pPr>
            <w:r w:rsidRPr="00416EF4">
              <w:rPr>
                <w:rFonts w:asciiTheme="minorHAnsi" w:eastAsia="Arial Narrow" w:hAnsiTheme="minorHAnsi" w:cs="Arial"/>
                <w:b/>
                <w:bCs/>
                <w:color w:val="002465"/>
                <w:sz w:val="20"/>
                <w:szCs w:val="20"/>
              </w:rPr>
              <w:t xml:space="preserve">Actividades Realizadas </w:t>
            </w:r>
          </w:p>
          <w:p w14:paraId="2D2CA639" w14:textId="77777777" w:rsidR="007B2F83" w:rsidRDefault="007B2F83" w:rsidP="007B2F83">
            <w:pPr>
              <w:jc w:val="both"/>
              <w:rPr>
                <w:rFonts w:asciiTheme="minorHAnsi" w:eastAsia="Arial Narrow" w:hAnsiTheme="minorHAnsi" w:cs="Arial"/>
                <w:color w:val="000000" w:themeColor="text1"/>
                <w:sz w:val="20"/>
                <w:szCs w:val="20"/>
              </w:rPr>
            </w:pPr>
            <w:r w:rsidRPr="007B2F83">
              <w:rPr>
                <w:rFonts w:asciiTheme="minorHAnsi" w:eastAsia="Arial Narrow" w:hAnsiTheme="minorHAnsi" w:cs="Arial"/>
                <w:color w:val="000000" w:themeColor="text1"/>
                <w:sz w:val="20"/>
                <w:szCs w:val="20"/>
              </w:rPr>
              <w:t xml:space="preserve">En cumplimiento de las Normas de Auditoría y del Marco Internacional para la Práctica Profesional de la Auditoría Interna (MIPP), se llevaron a cabo pruebas de auditoría orientadas a verificar el adecuado cumplimiento en la </w:t>
            </w:r>
            <w:r w:rsidRPr="007F08FD">
              <w:rPr>
                <w:rFonts w:asciiTheme="minorHAnsi" w:eastAsia="Arial Narrow" w:hAnsiTheme="minorHAnsi" w:cs="Arial"/>
                <w:color w:val="000000" w:themeColor="text1"/>
                <w:sz w:val="20"/>
                <w:szCs w:val="20"/>
              </w:rPr>
              <w:t>ejecución presupuestal y financiera</w:t>
            </w:r>
            <w:r w:rsidRPr="007B2F83">
              <w:rPr>
                <w:rFonts w:asciiTheme="minorHAnsi" w:eastAsia="Arial Narrow" w:hAnsiTheme="minorHAnsi" w:cs="Arial"/>
                <w:color w:val="000000" w:themeColor="text1"/>
                <w:sz w:val="20"/>
                <w:szCs w:val="20"/>
              </w:rPr>
              <w:t xml:space="preserve"> de los contratos y/o proyectos evaluados. Para tal fin, se realizaron, entre otras, las siguientes actividades:</w:t>
            </w:r>
          </w:p>
          <w:p w14:paraId="459F603B" w14:textId="77777777" w:rsidR="007B2F83" w:rsidRPr="007B2F83" w:rsidRDefault="007B2F83" w:rsidP="007B2F83">
            <w:pPr>
              <w:jc w:val="both"/>
              <w:rPr>
                <w:rFonts w:asciiTheme="minorHAnsi" w:eastAsia="Arial Narrow" w:hAnsiTheme="minorHAnsi" w:cs="Arial"/>
                <w:color w:val="000000" w:themeColor="text1"/>
                <w:sz w:val="20"/>
                <w:szCs w:val="20"/>
              </w:rPr>
            </w:pPr>
          </w:p>
          <w:p w14:paraId="704721D8" w14:textId="3F8AAEF5" w:rsidR="007B2F83" w:rsidRPr="00416EF4" w:rsidRDefault="007B2F83" w:rsidP="00416EF4">
            <w:pPr>
              <w:pStyle w:val="Prrafodelista"/>
              <w:numPr>
                <w:ilvl w:val="1"/>
                <w:numId w:val="16"/>
              </w:numPr>
              <w:tabs>
                <w:tab w:val="clear" w:pos="1440"/>
              </w:tabs>
              <w:ind w:left="745"/>
              <w:jc w:val="both"/>
              <w:rPr>
                <w:rFonts w:asciiTheme="minorHAnsi" w:eastAsia="Arial Narrow" w:hAnsiTheme="minorHAnsi" w:cs="Arial"/>
                <w:color w:val="000000" w:themeColor="text1"/>
                <w:sz w:val="20"/>
                <w:szCs w:val="20"/>
                <w:lang w:val="es-ES"/>
              </w:rPr>
            </w:pPr>
            <w:r w:rsidRPr="00416EF4">
              <w:rPr>
                <w:rFonts w:asciiTheme="minorHAnsi" w:eastAsia="Arial Narrow" w:hAnsiTheme="minorHAnsi" w:cs="Arial"/>
                <w:color w:val="000000" w:themeColor="text1"/>
                <w:sz w:val="20"/>
                <w:szCs w:val="20"/>
                <w:lang w:val="es-ES"/>
              </w:rPr>
              <w:t>Acceso al aplicativo SIFA y generación de reportes específicos para cada uno de los contratos y/o proyectos objeto de auditoría, incluyendo</w:t>
            </w:r>
          </w:p>
          <w:p w14:paraId="651101E3" w14:textId="77777777" w:rsidR="00A53D43" w:rsidRPr="00F20438" w:rsidRDefault="00A53D43" w:rsidP="007B2F83">
            <w:pPr>
              <w:spacing w:before="120" w:after="120"/>
              <w:ind w:left="606"/>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 </w:t>
            </w:r>
            <w:r w:rsidRPr="00F20438">
              <w:rPr>
                <w:rFonts w:asciiTheme="minorHAnsi" w:eastAsia="Arial Narrow" w:hAnsiTheme="minorHAnsi" w:cs="Arial"/>
                <w:color w:val="000000" w:themeColor="text1"/>
                <w:sz w:val="20"/>
                <w:szCs w:val="20"/>
                <w:lang w:val="es-ES"/>
              </w:rPr>
              <w:t>    a. Asignación de recursos,</w:t>
            </w:r>
            <w:r w:rsidRPr="00F20438">
              <w:rPr>
                <w:rFonts w:asciiTheme="minorHAnsi" w:eastAsia="Arial Narrow" w:hAnsiTheme="minorHAnsi" w:cs="Arial"/>
                <w:color w:val="000000" w:themeColor="text1"/>
                <w:sz w:val="20"/>
                <w:szCs w:val="20"/>
              </w:rPr>
              <w:t> </w:t>
            </w:r>
          </w:p>
          <w:p w14:paraId="5882608B" w14:textId="77777777" w:rsidR="00A53D43" w:rsidRPr="00F20438" w:rsidRDefault="00A53D43" w:rsidP="007B2F83">
            <w:pPr>
              <w:spacing w:before="120" w:after="120"/>
              <w:ind w:left="606"/>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lang w:val="es-ES"/>
              </w:rPr>
              <w:t>     b. Reporte de CDR asociados</w:t>
            </w:r>
            <w:r w:rsidRPr="00F20438">
              <w:rPr>
                <w:rFonts w:asciiTheme="minorHAnsi" w:eastAsia="Arial Narrow" w:hAnsiTheme="minorHAnsi" w:cs="Arial"/>
                <w:color w:val="000000" w:themeColor="text1"/>
                <w:sz w:val="20"/>
                <w:szCs w:val="20"/>
              </w:rPr>
              <w:t> </w:t>
            </w:r>
          </w:p>
          <w:p w14:paraId="1CBE90BC" w14:textId="77777777" w:rsidR="00A53D43" w:rsidRPr="00F20438" w:rsidRDefault="00A53D43" w:rsidP="007B2F83">
            <w:pPr>
              <w:spacing w:before="120" w:after="120"/>
              <w:ind w:left="606"/>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lang w:val="es-ES"/>
              </w:rPr>
              <w:t>     c. Ejecución presupuestal.</w:t>
            </w:r>
            <w:r w:rsidRPr="00F20438">
              <w:rPr>
                <w:rFonts w:asciiTheme="minorHAnsi" w:eastAsia="Arial Narrow" w:hAnsiTheme="minorHAnsi" w:cs="Arial"/>
                <w:color w:val="000000" w:themeColor="text1"/>
                <w:sz w:val="20"/>
                <w:szCs w:val="20"/>
              </w:rPr>
              <w:t> </w:t>
            </w:r>
          </w:p>
          <w:p w14:paraId="721AB336" w14:textId="3AD24338" w:rsidR="007B2F83" w:rsidRPr="00416EF4" w:rsidRDefault="007B2F83" w:rsidP="00416EF4">
            <w:pPr>
              <w:pStyle w:val="Prrafodelista"/>
              <w:numPr>
                <w:ilvl w:val="1"/>
                <w:numId w:val="16"/>
              </w:numPr>
              <w:tabs>
                <w:tab w:val="clear" w:pos="1440"/>
              </w:tabs>
              <w:ind w:left="745"/>
              <w:jc w:val="both"/>
              <w:rPr>
                <w:rFonts w:asciiTheme="minorHAnsi" w:eastAsia="Arial Narrow" w:hAnsiTheme="minorHAnsi" w:cs="Arial"/>
                <w:color w:val="000000" w:themeColor="text1"/>
                <w:sz w:val="20"/>
                <w:szCs w:val="20"/>
                <w:lang w:val="es-ES"/>
              </w:rPr>
            </w:pPr>
            <w:r w:rsidRPr="00416EF4">
              <w:rPr>
                <w:rFonts w:asciiTheme="minorHAnsi" w:eastAsia="Arial Narrow" w:hAnsiTheme="minorHAnsi" w:cs="Arial"/>
                <w:color w:val="000000" w:themeColor="text1"/>
                <w:sz w:val="20"/>
                <w:szCs w:val="20"/>
                <w:lang w:val="es-ES"/>
              </w:rPr>
              <w:t>Con base en la información obtenida del aplicativo SIFA, se efectuó un análisis comparativo frente a los datos contractuales y la información contenida en los informes de interventoría y/o supervisión. De manera complementaria y continua, se solicitó al área financiera las bases de datos en formato Excel que respaldan los Estados Financieros del Fondo de Adaptación, con corte al mes anterior al inicio de la auditoría. Esta información permitió identificar, entre otros aspectos,</w:t>
            </w:r>
            <w:r w:rsidR="00F52EB8">
              <w:rPr>
                <w:rFonts w:asciiTheme="minorHAnsi" w:eastAsia="Arial Narrow" w:hAnsiTheme="minorHAnsi" w:cs="Arial"/>
                <w:color w:val="000000" w:themeColor="text1"/>
                <w:sz w:val="20"/>
                <w:szCs w:val="20"/>
                <w:lang w:val="es-ES"/>
              </w:rPr>
              <w:t xml:space="preserve"> pagos realizados, </w:t>
            </w:r>
            <w:r w:rsidRPr="00416EF4">
              <w:rPr>
                <w:rFonts w:asciiTheme="minorHAnsi" w:eastAsia="Arial Narrow" w:hAnsiTheme="minorHAnsi" w:cs="Arial"/>
                <w:color w:val="000000" w:themeColor="text1"/>
                <w:sz w:val="20"/>
                <w:szCs w:val="20"/>
                <w:lang w:val="es-ES"/>
              </w:rPr>
              <w:t xml:space="preserve"> existencia de anticipos pendientes de legalizar y/o cuentas por pagar asociadas a los proyectos revisados.</w:t>
            </w:r>
          </w:p>
          <w:p w14:paraId="55C346C6" w14:textId="4AA8751D" w:rsidR="00A53D43" w:rsidRPr="00416EF4" w:rsidRDefault="00A53D43" w:rsidP="00416EF4">
            <w:pPr>
              <w:pStyle w:val="Prrafodelista"/>
              <w:numPr>
                <w:ilvl w:val="1"/>
                <w:numId w:val="16"/>
              </w:numPr>
              <w:tabs>
                <w:tab w:val="clear" w:pos="1440"/>
              </w:tabs>
              <w:ind w:left="745"/>
              <w:jc w:val="both"/>
              <w:rPr>
                <w:rFonts w:asciiTheme="minorHAnsi" w:eastAsia="Arial Narrow" w:hAnsiTheme="minorHAnsi" w:cs="Arial"/>
                <w:color w:val="000000" w:themeColor="text1"/>
                <w:sz w:val="20"/>
                <w:szCs w:val="20"/>
                <w:lang w:val="es-ES"/>
              </w:rPr>
            </w:pPr>
            <w:r w:rsidRPr="00416EF4">
              <w:rPr>
                <w:rFonts w:asciiTheme="minorHAnsi" w:eastAsia="Arial Narrow" w:hAnsiTheme="minorHAnsi" w:cs="Arial"/>
                <w:color w:val="000000" w:themeColor="text1"/>
                <w:sz w:val="20"/>
                <w:szCs w:val="20"/>
                <w:lang w:val="es-ES"/>
              </w:rPr>
              <w:t>Una vez consolidad</w:t>
            </w:r>
            <w:r w:rsidR="008A2D20" w:rsidRPr="00416EF4">
              <w:rPr>
                <w:rFonts w:asciiTheme="minorHAnsi" w:eastAsia="Arial Narrow" w:hAnsiTheme="minorHAnsi" w:cs="Arial"/>
                <w:color w:val="000000" w:themeColor="text1"/>
                <w:sz w:val="20"/>
                <w:szCs w:val="20"/>
                <w:lang w:val="es-ES"/>
              </w:rPr>
              <w:t>a</w:t>
            </w:r>
            <w:r w:rsidRPr="00416EF4">
              <w:rPr>
                <w:rFonts w:asciiTheme="minorHAnsi" w:eastAsia="Arial Narrow" w:hAnsiTheme="minorHAnsi" w:cs="Arial"/>
                <w:color w:val="000000" w:themeColor="text1"/>
                <w:sz w:val="20"/>
                <w:szCs w:val="20"/>
                <w:lang w:val="es-ES"/>
              </w:rPr>
              <w:t xml:space="preserve"> la información era posible verificar la ejecución presupuestal y financiera por contrato y/o proyecto. Verificar el cumplimiento de la documentación que soporta los pagos o giros realizados de conformidad con los requisitos establecidos en el manual de pagos.</w:t>
            </w:r>
          </w:p>
          <w:p w14:paraId="09319299" w14:textId="77777777" w:rsidR="007B2F83" w:rsidRPr="007B2F83" w:rsidRDefault="007B2F83" w:rsidP="007B2F83">
            <w:pPr>
              <w:pStyle w:val="Prrafodelista"/>
              <w:spacing w:before="120" w:after="120"/>
              <w:jc w:val="both"/>
              <w:rPr>
                <w:rFonts w:asciiTheme="minorHAnsi" w:eastAsia="Arial Narrow" w:hAnsiTheme="minorHAnsi" w:cs="Arial"/>
                <w:color w:val="000000" w:themeColor="text1"/>
                <w:sz w:val="20"/>
                <w:szCs w:val="20"/>
              </w:rPr>
            </w:pPr>
          </w:p>
          <w:p w14:paraId="078539C6" w14:textId="1DEBB4C6" w:rsidR="00A53D43" w:rsidRPr="00F20438" w:rsidRDefault="007E3D73" w:rsidP="00416EF4">
            <w:pPr>
              <w:pStyle w:val="Prrafodelista"/>
              <w:numPr>
                <w:ilvl w:val="1"/>
                <w:numId w:val="32"/>
              </w:numPr>
              <w:spacing w:before="240" w:after="120"/>
              <w:ind w:left="1170"/>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lastRenderedPageBreak/>
              <w:t xml:space="preserve">Situaciones Identificadas </w:t>
            </w:r>
          </w:p>
          <w:p w14:paraId="0B893FA2" w14:textId="4DD1BCAA" w:rsidR="00A53D43" w:rsidRPr="00F20438" w:rsidRDefault="00A53D43" w:rsidP="00A53D43">
            <w:pPr>
              <w:spacing w:before="120" w:after="12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Como resultado de las pruebas de auditoria aplicadas para los 33 proyectos y/o contratos sobre los cuales se ha ejecutado la auditoría</w:t>
            </w:r>
            <w:r w:rsidR="007B2F83">
              <w:rPr>
                <w:rFonts w:asciiTheme="minorHAnsi" w:eastAsia="Arial Narrow" w:hAnsiTheme="minorHAnsi" w:cs="Arial"/>
                <w:color w:val="000000" w:themeColor="text1"/>
                <w:sz w:val="20"/>
                <w:szCs w:val="20"/>
              </w:rPr>
              <w:t>,</w:t>
            </w:r>
            <w:r w:rsidRPr="00F20438">
              <w:rPr>
                <w:rFonts w:asciiTheme="minorHAnsi" w:eastAsia="Arial Narrow" w:hAnsiTheme="minorHAnsi" w:cs="Arial"/>
                <w:color w:val="000000" w:themeColor="text1"/>
                <w:sz w:val="20"/>
                <w:szCs w:val="20"/>
              </w:rPr>
              <w:t xml:space="preserve"> de manera general se identifican las siguientes situaciones:</w:t>
            </w:r>
          </w:p>
          <w:p w14:paraId="56740200" w14:textId="074F4C52" w:rsidR="00A53D43" w:rsidRPr="00F20438" w:rsidRDefault="00A53D43" w:rsidP="00416EF4">
            <w:pPr>
              <w:pStyle w:val="Prrafodelista"/>
              <w:numPr>
                <w:ilvl w:val="0"/>
                <w:numId w:val="34"/>
              </w:numPr>
              <w:spacing w:before="120" w:after="120"/>
              <w:jc w:val="both"/>
              <w:rPr>
                <w:rFonts w:asciiTheme="minorHAnsi" w:hAnsiTheme="minorHAnsi"/>
                <w:color w:val="000000"/>
                <w:sz w:val="20"/>
                <w:szCs w:val="20"/>
                <w:lang w:eastAsia="es-CO"/>
              </w:rPr>
            </w:pPr>
            <w:r w:rsidRPr="00F20438">
              <w:rPr>
                <w:rFonts w:asciiTheme="minorHAnsi" w:eastAsia="Arial Narrow" w:hAnsiTheme="minorHAnsi" w:cs="Arial"/>
                <w:color w:val="000000" w:themeColor="text1"/>
                <w:sz w:val="20"/>
                <w:szCs w:val="20"/>
              </w:rPr>
              <w:t xml:space="preserve">Se han auditado un total de 33 proyectos y/o contratos cuyos valores </w:t>
            </w:r>
            <w:r w:rsidR="008A2D20" w:rsidRPr="00F20438">
              <w:rPr>
                <w:rFonts w:asciiTheme="minorHAnsi" w:eastAsia="Arial Narrow" w:hAnsiTheme="minorHAnsi" w:cs="Arial"/>
                <w:color w:val="000000" w:themeColor="text1"/>
                <w:sz w:val="20"/>
                <w:szCs w:val="20"/>
              </w:rPr>
              <w:t>para las</w:t>
            </w:r>
            <w:r w:rsidRPr="00F20438">
              <w:rPr>
                <w:rFonts w:asciiTheme="minorHAnsi" w:eastAsia="Arial Narrow" w:hAnsiTheme="minorHAnsi" w:cs="Arial"/>
                <w:color w:val="000000" w:themeColor="text1"/>
                <w:sz w:val="20"/>
                <w:szCs w:val="20"/>
              </w:rPr>
              <w:t xml:space="preserve"> </w:t>
            </w:r>
            <w:r w:rsidR="00515A5A" w:rsidRPr="00F20438">
              <w:rPr>
                <w:rFonts w:asciiTheme="minorHAnsi" w:eastAsia="Arial Narrow" w:hAnsiTheme="minorHAnsi" w:cs="Arial"/>
                <w:color w:val="000000" w:themeColor="text1"/>
                <w:sz w:val="20"/>
                <w:szCs w:val="20"/>
              </w:rPr>
              <w:t>auditori</w:t>
            </w:r>
            <w:r w:rsidR="00515A5A">
              <w:rPr>
                <w:rFonts w:asciiTheme="minorHAnsi" w:eastAsia="Arial Narrow" w:hAnsiTheme="minorHAnsi" w:cs="Arial"/>
                <w:color w:val="000000" w:themeColor="text1"/>
                <w:sz w:val="20"/>
                <w:szCs w:val="20"/>
              </w:rPr>
              <w:t>a</w:t>
            </w:r>
            <w:r w:rsidR="00515A5A" w:rsidRPr="00F20438">
              <w:rPr>
                <w:rFonts w:asciiTheme="minorHAnsi" w:eastAsia="Arial Narrow" w:hAnsiTheme="minorHAnsi" w:cs="Arial"/>
                <w:color w:val="000000" w:themeColor="text1"/>
                <w:sz w:val="20"/>
                <w:szCs w:val="20"/>
              </w:rPr>
              <w:t>s documentales</w:t>
            </w:r>
            <w:r w:rsidRPr="00F20438">
              <w:rPr>
                <w:rFonts w:asciiTheme="minorHAnsi" w:eastAsia="Arial Narrow" w:hAnsiTheme="minorHAnsi" w:cs="Arial"/>
                <w:color w:val="000000" w:themeColor="text1"/>
                <w:sz w:val="20"/>
                <w:szCs w:val="20"/>
              </w:rPr>
              <w:t xml:space="preserve"> ascienden a $116.083</w:t>
            </w:r>
            <w:r w:rsidR="00AB2187">
              <w:rPr>
                <w:rFonts w:asciiTheme="minorHAnsi" w:eastAsia="Arial Narrow" w:hAnsiTheme="minorHAnsi" w:cs="Arial"/>
                <w:color w:val="000000" w:themeColor="text1"/>
                <w:sz w:val="20"/>
                <w:szCs w:val="20"/>
              </w:rPr>
              <w:t xml:space="preserve"> </w:t>
            </w:r>
            <w:r w:rsidRPr="00F20438">
              <w:rPr>
                <w:rFonts w:asciiTheme="minorHAnsi" w:eastAsia="Arial Narrow" w:hAnsiTheme="minorHAnsi" w:cs="Arial"/>
                <w:color w:val="000000" w:themeColor="text1"/>
                <w:sz w:val="20"/>
                <w:szCs w:val="20"/>
              </w:rPr>
              <w:t>millones y para las auditorias en campo y documentales un valor aproximado de $</w:t>
            </w:r>
            <w:r w:rsidRPr="00F20438">
              <w:rPr>
                <w:rFonts w:asciiTheme="minorHAnsi" w:hAnsiTheme="minorHAnsi"/>
                <w:color w:val="000000"/>
                <w:sz w:val="20"/>
                <w:szCs w:val="20"/>
              </w:rPr>
              <w:t xml:space="preserve"> </w:t>
            </w:r>
            <w:r w:rsidRPr="00F20438">
              <w:rPr>
                <w:rFonts w:asciiTheme="minorHAnsi" w:eastAsia="Arial Narrow" w:hAnsiTheme="minorHAnsi" w:cs="Arial"/>
                <w:color w:val="000000" w:themeColor="text1"/>
                <w:sz w:val="20"/>
                <w:szCs w:val="20"/>
              </w:rPr>
              <w:t>69.221</w:t>
            </w:r>
            <w:r w:rsidR="008A2D20" w:rsidRPr="00F20438">
              <w:rPr>
                <w:rFonts w:asciiTheme="minorHAnsi" w:eastAsia="Arial Narrow" w:hAnsiTheme="minorHAnsi" w:cs="Arial"/>
                <w:color w:val="000000" w:themeColor="text1"/>
                <w:sz w:val="20"/>
                <w:szCs w:val="20"/>
              </w:rPr>
              <w:t xml:space="preserve"> </w:t>
            </w:r>
            <w:r w:rsidRPr="00F20438">
              <w:rPr>
                <w:rFonts w:asciiTheme="minorHAnsi" w:eastAsia="Arial Narrow" w:hAnsiTheme="minorHAnsi" w:cs="Arial"/>
                <w:color w:val="000000" w:themeColor="text1"/>
                <w:sz w:val="20"/>
                <w:szCs w:val="20"/>
              </w:rPr>
              <w:t>millones</w:t>
            </w:r>
            <w:r w:rsidR="00515A5A">
              <w:rPr>
                <w:rFonts w:asciiTheme="minorHAnsi" w:eastAsia="Arial Narrow" w:hAnsiTheme="minorHAnsi" w:cs="Arial"/>
                <w:color w:val="000000" w:themeColor="text1"/>
                <w:sz w:val="20"/>
                <w:szCs w:val="20"/>
              </w:rPr>
              <w:t>, para un total de $$185.304 millones de pesos de recursos auditados</w:t>
            </w:r>
            <w:r w:rsidR="007B2F83">
              <w:rPr>
                <w:rFonts w:asciiTheme="minorHAnsi" w:eastAsia="Arial Narrow" w:hAnsiTheme="minorHAnsi" w:cs="Arial"/>
                <w:color w:val="000000" w:themeColor="text1"/>
                <w:sz w:val="20"/>
                <w:szCs w:val="20"/>
              </w:rPr>
              <w:t>. D</w:t>
            </w:r>
            <w:r w:rsidRPr="00F20438">
              <w:rPr>
                <w:rFonts w:asciiTheme="minorHAnsi" w:eastAsia="Arial Narrow" w:hAnsiTheme="minorHAnsi" w:cs="Arial"/>
                <w:color w:val="000000" w:themeColor="text1"/>
                <w:sz w:val="20"/>
                <w:szCs w:val="20"/>
              </w:rPr>
              <w:t>e estos contratos</w:t>
            </w:r>
            <w:r w:rsidR="007B2F83">
              <w:rPr>
                <w:rFonts w:asciiTheme="minorHAnsi" w:eastAsia="Arial Narrow" w:hAnsiTheme="minorHAnsi" w:cs="Arial"/>
                <w:color w:val="000000" w:themeColor="text1"/>
                <w:sz w:val="20"/>
                <w:szCs w:val="20"/>
              </w:rPr>
              <w:t>,</w:t>
            </w:r>
            <w:r w:rsidRPr="00F20438">
              <w:rPr>
                <w:rFonts w:asciiTheme="minorHAnsi" w:eastAsia="Arial Narrow" w:hAnsiTheme="minorHAnsi" w:cs="Arial"/>
                <w:color w:val="000000" w:themeColor="text1"/>
                <w:sz w:val="20"/>
                <w:szCs w:val="20"/>
              </w:rPr>
              <w:t xml:space="preserve"> 24 corresponden al sector vivienda</w:t>
            </w:r>
            <w:r w:rsidR="007B2F83">
              <w:rPr>
                <w:rFonts w:asciiTheme="minorHAnsi" w:eastAsia="Arial Narrow" w:hAnsiTheme="minorHAnsi" w:cs="Arial"/>
                <w:color w:val="000000" w:themeColor="text1"/>
                <w:sz w:val="20"/>
                <w:szCs w:val="20"/>
              </w:rPr>
              <w:t>,</w:t>
            </w:r>
            <w:r w:rsidRPr="00F20438">
              <w:rPr>
                <w:rFonts w:asciiTheme="minorHAnsi" w:eastAsia="Arial Narrow" w:hAnsiTheme="minorHAnsi" w:cs="Arial"/>
                <w:color w:val="000000" w:themeColor="text1"/>
                <w:sz w:val="20"/>
                <w:szCs w:val="20"/>
              </w:rPr>
              <w:t xml:space="preserve"> lo </w:t>
            </w:r>
            <w:r w:rsidR="007B2F83">
              <w:rPr>
                <w:rFonts w:asciiTheme="minorHAnsi" w:eastAsia="Arial Narrow" w:hAnsiTheme="minorHAnsi" w:cs="Arial"/>
                <w:color w:val="000000" w:themeColor="text1"/>
                <w:sz w:val="20"/>
                <w:szCs w:val="20"/>
              </w:rPr>
              <w:t>cual</w:t>
            </w:r>
            <w:r w:rsidRPr="00F20438">
              <w:rPr>
                <w:rFonts w:asciiTheme="minorHAnsi" w:eastAsia="Arial Narrow" w:hAnsiTheme="minorHAnsi" w:cs="Arial"/>
                <w:color w:val="000000" w:themeColor="text1"/>
                <w:sz w:val="20"/>
                <w:szCs w:val="20"/>
              </w:rPr>
              <w:t xml:space="preserve"> representa el 73% de los auditados, 5 sector salud, 1 al sector de agua potable, 1 medio ambiente, 1</w:t>
            </w:r>
            <w:r w:rsidR="00D16E2B" w:rsidRPr="00F20438">
              <w:rPr>
                <w:rFonts w:asciiTheme="minorHAnsi" w:eastAsia="Arial Narrow" w:hAnsiTheme="minorHAnsi" w:cs="Arial"/>
                <w:color w:val="000000" w:themeColor="text1"/>
                <w:sz w:val="20"/>
                <w:szCs w:val="20"/>
              </w:rPr>
              <w:t xml:space="preserve"> </w:t>
            </w:r>
            <w:r w:rsidRPr="00F20438">
              <w:rPr>
                <w:rFonts w:asciiTheme="minorHAnsi" w:eastAsia="Arial Narrow" w:hAnsiTheme="minorHAnsi" w:cs="Arial"/>
                <w:color w:val="000000" w:themeColor="text1"/>
                <w:sz w:val="20"/>
                <w:szCs w:val="20"/>
              </w:rPr>
              <w:t>Canal del dique, y 1 al medio ambiente.</w:t>
            </w:r>
          </w:p>
          <w:p w14:paraId="20241936" w14:textId="77777777" w:rsidR="00D16E2B" w:rsidRPr="00F20438" w:rsidRDefault="00D16E2B" w:rsidP="00D16E2B">
            <w:pPr>
              <w:pStyle w:val="Prrafodelista"/>
              <w:spacing w:before="120" w:after="120"/>
              <w:jc w:val="both"/>
              <w:rPr>
                <w:rFonts w:asciiTheme="minorHAnsi" w:hAnsiTheme="minorHAnsi"/>
                <w:color w:val="000000"/>
                <w:sz w:val="20"/>
                <w:szCs w:val="20"/>
                <w:lang w:eastAsia="es-CO"/>
              </w:rPr>
            </w:pPr>
          </w:p>
          <w:p w14:paraId="6B626E4E" w14:textId="74C5DE4A" w:rsidR="00A53D43" w:rsidRPr="00416EF4" w:rsidRDefault="00A53D43" w:rsidP="00416EF4">
            <w:pPr>
              <w:pStyle w:val="Prrafodelista"/>
              <w:numPr>
                <w:ilvl w:val="0"/>
                <w:numId w:val="34"/>
              </w:numPr>
              <w:spacing w:before="120" w:after="12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 xml:space="preserve">De los 33 Proyectos auditados se identificó que 19 de ellos se encuentran en </w:t>
            </w:r>
            <w:r w:rsidRPr="007F08FD">
              <w:rPr>
                <w:rFonts w:asciiTheme="minorHAnsi" w:eastAsia="Arial Narrow" w:hAnsiTheme="minorHAnsi" w:cs="Arial"/>
                <w:color w:val="000000" w:themeColor="text1"/>
                <w:sz w:val="20"/>
                <w:szCs w:val="20"/>
              </w:rPr>
              <w:t>proceso jurídico</w:t>
            </w:r>
            <w:r w:rsidR="007B2F83" w:rsidRPr="007F08FD">
              <w:rPr>
                <w:rFonts w:asciiTheme="minorHAnsi" w:eastAsia="Arial Narrow" w:hAnsiTheme="minorHAnsi" w:cs="Arial"/>
                <w:color w:val="000000" w:themeColor="text1"/>
                <w:sz w:val="20"/>
                <w:szCs w:val="20"/>
              </w:rPr>
              <w:t>,</w:t>
            </w:r>
            <w:r w:rsidRPr="007F08FD">
              <w:rPr>
                <w:rFonts w:asciiTheme="minorHAnsi" w:eastAsia="Arial Narrow" w:hAnsiTheme="minorHAnsi" w:cs="Arial"/>
                <w:color w:val="000000" w:themeColor="text1"/>
                <w:sz w:val="20"/>
                <w:szCs w:val="20"/>
              </w:rPr>
              <w:t xml:space="preserve"> es decir el 58%</w:t>
            </w:r>
            <w:r w:rsidR="007B2F83" w:rsidRPr="007F08FD">
              <w:rPr>
                <w:rFonts w:asciiTheme="minorHAnsi" w:eastAsia="Arial Narrow" w:hAnsiTheme="minorHAnsi" w:cs="Arial"/>
                <w:color w:val="000000" w:themeColor="text1"/>
                <w:sz w:val="20"/>
                <w:szCs w:val="20"/>
              </w:rPr>
              <w:t xml:space="preserve"> </w:t>
            </w:r>
            <w:r w:rsidRPr="007F08FD">
              <w:rPr>
                <w:rFonts w:asciiTheme="minorHAnsi" w:eastAsia="Arial Narrow" w:hAnsiTheme="minorHAnsi" w:cs="Arial"/>
                <w:color w:val="000000" w:themeColor="text1"/>
                <w:sz w:val="20"/>
                <w:szCs w:val="20"/>
              </w:rPr>
              <w:t>cuya causa principal es incumplimiento</w:t>
            </w:r>
            <w:r w:rsidR="007B2F83" w:rsidRPr="007F08FD">
              <w:rPr>
                <w:rFonts w:asciiTheme="minorHAnsi" w:eastAsia="Arial Narrow" w:hAnsiTheme="minorHAnsi" w:cs="Arial"/>
                <w:color w:val="000000" w:themeColor="text1"/>
                <w:sz w:val="20"/>
                <w:szCs w:val="20"/>
              </w:rPr>
              <w:t>.</w:t>
            </w:r>
            <w:r w:rsidRPr="007F08FD">
              <w:rPr>
                <w:rFonts w:asciiTheme="minorHAnsi" w:eastAsia="Arial Narrow" w:hAnsiTheme="minorHAnsi" w:cs="Arial"/>
                <w:color w:val="000000" w:themeColor="text1"/>
                <w:sz w:val="20"/>
                <w:szCs w:val="20"/>
              </w:rPr>
              <w:t xml:space="preserve"> </w:t>
            </w:r>
            <w:r w:rsidR="007B2F83" w:rsidRPr="007F08FD">
              <w:rPr>
                <w:rFonts w:asciiTheme="minorHAnsi" w:eastAsia="Arial Narrow" w:hAnsiTheme="minorHAnsi" w:cs="Arial"/>
                <w:color w:val="000000" w:themeColor="text1"/>
                <w:sz w:val="20"/>
                <w:szCs w:val="20"/>
              </w:rPr>
              <w:t>I</w:t>
            </w:r>
            <w:r w:rsidRPr="007F08FD">
              <w:rPr>
                <w:rFonts w:asciiTheme="minorHAnsi" w:eastAsia="Arial Narrow" w:hAnsiTheme="minorHAnsi" w:cs="Arial"/>
                <w:color w:val="000000" w:themeColor="text1"/>
                <w:sz w:val="20"/>
                <w:szCs w:val="20"/>
              </w:rPr>
              <w:t>gualmente se han auditado 5 proyectos que se encuentran finalizados y entregados sin novedad, 7 proyectos en proceso de ejecución</w:t>
            </w:r>
            <w:r w:rsidR="00CC6445">
              <w:rPr>
                <w:rFonts w:asciiTheme="minorHAnsi" w:eastAsia="Arial Narrow" w:hAnsiTheme="minorHAnsi" w:cs="Arial"/>
                <w:color w:val="000000" w:themeColor="text1"/>
                <w:sz w:val="20"/>
                <w:szCs w:val="20"/>
              </w:rPr>
              <w:t xml:space="preserve"> y 2 contratos que no se pudieron ejecutar y cuyos recursos fueron liberados </w:t>
            </w:r>
            <w:r w:rsidR="00BE3108">
              <w:rPr>
                <w:rFonts w:asciiTheme="minorHAnsi" w:eastAsia="Arial Narrow" w:hAnsiTheme="minorHAnsi" w:cs="Arial"/>
                <w:color w:val="000000" w:themeColor="text1"/>
                <w:sz w:val="20"/>
                <w:szCs w:val="20"/>
              </w:rPr>
              <w:t xml:space="preserve"> estos fueron </w:t>
            </w:r>
            <w:r w:rsidR="00CC6445">
              <w:rPr>
                <w:rFonts w:asciiTheme="minorHAnsi" w:eastAsia="Arial Narrow" w:hAnsiTheme="minorHAnsi" w:cs="Arial"/>
                <w:color w:val="000000" w:themeColor="text1"/>
                <w:sz w:val="20"/>
                <w:szCs w:val="20"/>
              </w:rPr>
              <w:t>(</w:t>
            </w:r>
            <w:r w:rsidR="00CC6445" w:rsidRPr="00CC6445">
              <w:rPr>
                <w:rFonts w:asciiTheme="minorHAnsi" w:eastAsia="Arial Narrow" w:hAnsiTheme="minorHAnsi" w:cs="Arial"/>
                <w:color w:val="000000" w:themeColor="text1"/>
                <w:sz w:val="20"/>
                <w:szCs w:val="20"/>
              </w:rPr>
              <w:t>CENTRO DE SALUD NUESTRA SEÑORA DEL CARMEN</w:t>
            </w:r>
            <w:r w:rsidR="00CC6445">
              <w:rPr>
                <w:rFonts w:asciiTheme="minorHAnsi" w:eastAsia="Arial Narrow" w:hAnsiTheme="minorHAnsi" w:cs="Arial"/>
                <w:color w:val="000000" w:themeColor="text1"/>
                <w:sz w:val="20"/>
                <w:szCs w:val="20"/>
              </w:rPr>
              <w:t xml:space="preserve"> la tola, Nariño, </w:t>
            </w:r>
            <w:r w:rsidR="00CC6445" w:rsidRPr="00CC6445">
              <w:rPr>
                <w:rFonts w:asciiTheme="minorHAnsi" w:eastAsia="Arial Narrow" w:hAnsiTheme="minorHAnsi" w:cs="Arial"/>
                <w:color w:val="000000" w:themeColor="text1"/>
                <w:sz w:val="20"/>
                <w:szCs w:val="20"/>
              </w:rPr>
              <w:t>187-0729-VIVIENDA SAN PABLO-URBANIZACIÓN SOL DE BRICEÑO-V2</w:t>
            </w:r>
            <w:r w:rsidR="00CC6445">
              <w:rPr>
                <w:rFonts w:asciiTheme="minorHAnsi" w:eastAsia="Arial Narrow" w:hAnsiTheme="minorHAnsi" w:cs="Arial"/>
                <w:color w:val="000000" w:themeColor="text1"/>
                <w:sz w:val="20"/>
                <w:szCs w:val="20"/>
              </w:rPr>
              <w:t>)</w:t>
            </w:r>
          </w:p>
          <w:p w14:paraId="4159996A" w14:textId="77777777" w:rsidR="00D16E2B" w:rsidRPr="00416EF4" w:rsidRDefault="00D16E2B" w:rsidP="00416EF4">
            <w:pPr>
              <w:pStyle w:val="Prrafodelista"/>
              <w:spacing w:before="120" w:after="120"/>
              <w:jc w:val="both"/>
              <w:rPr>
                <w:rFonts w:asciiTheme="minorHAnsi" w:eastAsia="Arial Narrow" w:hAnsiTheme="minorHAnsi" w:cs="Arial"/>
                <w:color w:val="000000" w:themeColor="text1"/>
                <w:sz w:val="20"/>
                <w:szCs w:val="20"/>
              </w:rPr>
            </w:pPr>
          </w:p>
          <w:p w14:paraId="46E78390" w14:textId="3558D114" w:rsidR="002703B5" w:rsidRPr="007F08FD" w:rsidRDefault="00A53D43" w:rsidP="00416EF4">
            <w:pPr>
              <w:pStyle w:val="Prrafodelista"/>
              <w:numPr>
                <w:ilvl w:val="0"/>
                <w:numId w:val="34"/>
              </w:numPr>
              <w:spacing w:before="120" w:after="120"/>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 xml:space="preserve">De los contratos auditados </w:t>
            </w:r>
            <w:r w:rsidR="002703B5" w:rsidRPr="007F08FD">
              <w:rPr>
                <w:rFonts w:asciiTheme="minorHAnsi" w:eastAsia="Arial Narrow" w:hAnsiTheme="minorHAnsi" w:cs="Arial"/>
                <w:color w:val="000000" w:themeColor="text1"/>
                <w:sz w:val="20"/>
                <w:szCs w:val="20"/>
              </w:rPr>
              <w:t xml:space="preserve">se identificó que la mayoría de ellos fueron suscritos entre el Fondo Adaptación y las Cajas de Compensación Familiar de distintos departamentos, las cuales, a su vez, subcontrataron a terceros para la ejecución de las obligaciones contractuales. Esta modalidad de ejecución </w:t>
            </w:r>
            <w:r w:rsidR="00B51189">
              <w:rPr>
                <w:rFonts w:asciiTheme="minorHAnsi" w:eastAsia="Arial Narrow" w:hAnsiTheme="minorHAnsi" w:cs="Arial"/>
                <w:color w:val="000000" w:themeColor="text1"/>
                <w:sz w:val="20"/>
                <w:szCs w:val="20"/>
              </w:rPr>
              <w:t xml:space="preserve">resultó </w:t>
            </w:r>
            <w:r w:rsidR="002703B5" w:rsidRPr="007F08FD">
              <w:rPr>
                <w:rFonts w:asciiTheme="minorHAnsi" w:eastAsia="Arial Narrow" w:hAnsiTheme="minorHAnsi" w:cs="Arial"/>
                <w:color w:val="000000" w:themeColor="text1"/>
                <w:sz w:val="20"/>
                <w:szCs w:val="20"/>
              </w:rPr>
              <w:t xml:space="preserve"> inadecuada, en la medida en que diluye el control directo y la autoridad del Fondo sobre la ejecución de los proyectos. Como consecuencia, se han originado múltiples procesos jurídicos debido al incumplimiento por parte de los terceros subcontratistas. Esta situación no solo ha generado un desgaste administrativo y económico para el Fondo, sino que además ha impedido la finalización de varios contratos, manteniendo recursos comprometidos sin ejecutar por un valor aproximado de $</w:t>
            </w:r>
            <w:r w:rsidR="00B51189">
              <w:rPr>
                <w:rFonts w:asciiTheme="minorHAnsi" w:eastAsia="Arial Narrow" w:hAnsiTheme="minorHAnsi" w:cs="Arial"/>
                <w:color w:val="000000" w:themeColor="text1"/>
                <w:sz w:val="20"/>
                <w:szCs w:val="20"/>
              </w:rPr>
              <w:t>27.547.115.399</w:t>
            </w:r>
            <w:r w:rsidR="002703B5" w:rsidRPr="007F08FD">
              <w:rPr>
                <w:rFonts w:asciiTheme="minorHAnsi" w:eastAsia="Arial Narrow" w:hAnsiTheme="minorHAnsi" w:cs="Arial"/>
                <w:color w:val="000000" w:themeColor="text1"/>
                <w:sz w:val="20"/>
                <w:szCs w:val="20"/>
              </w:rPr>
              <w:t>, los cuales no podrán ser liberados hasta tanto no se resuelvan los procesos judiciales en curso.</w:t>
            </w:r>
          </w:p>
          <w:p w14:paraId="3AAF0C58" w14:textId="77777777" w:rsidR="002703B5" w:rsidRPr="007F08FD" w:rsidRDefault="002703B5" w:rsidP="00416EF4">
            <w:pPr>
              <w:pStyle w:val="Prrafodelista"/>
              <w:spacing w:before="120" w:after="120"/>
              <w:jc w:val="both"/>
              <w:rPr>
                <w:rFonts w:asciiTheme="minorHAnsi" w:eastAsia="Arial Narrow" w:hAnsiTheme="minorHAnsi" w:cs="Arial"/>
                <w:color w:val="000000" w:themeColor="text1"/>
                <w:sz w:val="20"/>
                <w:szCs w:val="20"/>
              </w:rPr>
            </w:pPr>
          </w:p>
          <w:p w14:paraId="1BF6248A" w14:textId="0BF8126C" w:rsidR="00A53D43" w:rsidRPr="002703B5" w:rsidRDefault="002703B5" w:rsidP="00416EF4">
            <w:pPr>
              <w:pStyle w:val="Prrafodelista"/>
              <w:numPr>
                <w:ilvl w:val="0"/>
                <w:numId w:val="34"/>
              </w:numPr>
              <w:spacing w:before="120" w:after="120"/>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Adicionalmente, se evidenció que 11 de los 33 proyectos auditados presentan anticipos pendientes por legalizar, por un valor total de $6.314.508.767. De estos, 10 proyectos se encuentran actualmente en proceso jurídico, lo que genera un alto grado de incertidumbre respecto a la recuperación efectiva de dichos recursos. Asimismo, tres de estos contratos han sido objeto de hallazgos</w:t>
            </w:r>
            <w:r w:rsidRPr="002703B5">
              <w:rPr>
                <w:rFonts w:asciiTheme="minorHAnsi" w:eastAsia="Arial Narrow" w:hAnsiTheme="minorHAnsi" w:cs="Arial"/>
                <w:color w:val="000000" w:themeColor="text1"/>
                <w:sz w:val="20"/>
                <w:szCs w:val="20"/>
              </w:rPr>
              <w:t xml:space="preserve"> por parte de la Contraloría General de la República, debido tanto a la inoportuna legalización de los anticipos como a deficiencias en las soluciones de vivienda entregadas. Estas no cumplen con los estándares mínimos de habitabilidad, al no contar con servicios públicos básicos ni con abastecimiento de agua potable.</w:t>
            </w:r>
          </w:p>
          <w:p w14:paraId="0CF90D16" w14:textId="77777777" w:rsidR="002703B5" w:rsidRPr="00F20438" w:rsidRDefault="002703B5" w:rsidP="00416EF4">
            <w:pPr>
              <w:pStyle w:val="Prrafodelista"/>
              <w:spacing w:before="120" w:after="120"/>
              <w:jc w:val="both"/>
              <w:rPr>
                <w:rFonts w:asciiTheme="minorHAnsi" w:eastAsia="Arial Narrow" w:hAnsiTheme="minorHAnsi" w:cs="Arial"/>
                <w:color w:val="000000" w:themeColor="text1"/>
                <w:sz w:val="20"/>
                <w:szCs w:val="20"/>
              </w:rPr>
            </w:pPr>
          </w:p>
          <w:p w14:paraId="54147494" w14:textId="77777777" w:rsidR="002703B5" w:rsidRDefault="00A53D43" w:rsidP="00416EF4">
            <w:pPr>
              <w:pStyle w:val="Prrafodelista"/>
              <w:numPr>
                <w:ilvl w:val="0"/>
                <w:numId w:val="34"/>
              </w:numPr>
              <w:spacing w:before="120" w:after="12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 xml:space="preserve">En cuanto a la documentación financiera que soporta los pagos realizados a los diferentes contratos se ha identificado que la información </w:t>
            </w:r>
            <w:r w:rsidR="00A76B7D" w:rsidRPr="00F20438">
              <w:rPr>
                <w:rFonts w:asciiTheme="minorHAnsi" w:eastAsia="Arial Narrow" w:hAnsiTheme="minorHAnsi" w:cs="Arial"/>
                <w:color w:val="000000" w:themeColor="text1"/>
                <w:sz w:val="20"/>
                <w:szCs w:val="20"/>
              </w:rPr>
              <w:t>está</w:t>
            </w:r>
            <w:r w:rsidRPr="00F20438">
              <w:rPr>
                <w:rFonts w:asciiTheme="minorHAnsi" w:eastAsia="Arial Narrow" w:hAnsiTheme="minorHAnsi" w:cs="Arial"/>
                <w:color w:val="000000" w:themeColor="text1"/>
                <w:sz w:val="20"/>
                <w:szCs w:val="20"/>
              </w:rPr>
              <w:t xml:space="preserve"> organizada y cumple con los requisitos mínimos establecidos en el manual de </w:t>
            </w:r>
            <w:r w:rsidR="00D16E2B" w:rsidRPr="00F20438">
              <w:rPr>
                <w:rFonts w:asciiTheme="minorHAnsi" w:eastAsia="Arial Narrow" w:hAnsiTheme="minorHAnsi" w:cs="Arial"/>
                <w:color w:val="000000" w:themeColor="text1"/>
                <w:sz w:val="20"/>
                <w:szCs w:val="20"/>
              </w:rPr>
              <w:t>pagos implementado</w:t>
            </w:r>
            <w:r w:rsidRPr="00F20438">
              <w:rPr>
                <w:rFonts w:asciiTheme="minorHAnsi" w:eastAsia="Arial Narrow" w:hAnsiTheme="minorHAnsi" w:cs="Arial"/>
                <w:color w:val="000000" w:themeColor="text1"/>
                <w:sz w:val="20"/>
                <w:szCs w:val="20"/>
              </w:rPr>
              <w:t xml:space="preserve"> por </w:t>
            </w:r>
            <w:r w:rsidR="00D16E2B" w:rsidRPr="00F20438">
              <w:rPr>
                <w:rFonts w:asciiTheme="minorHAnsi" w:eastAsia="Arial Narrow" w:hAnsiTheme="minorHAnsi" w:cs="Arial"/>
                <w:color w:val="000000" w:themeColor="text1"/>
                <w:sz w:val="20"/>
                <w:szCs w:val="20"/>
              </w:rPr>
              <w:t>la Entidad.</w:t>
            </w:r>
          </w:p>
          <w:p w14:paraId="2FC9301A" w14:textId="77777777" w:rsidR="002703B5" w:rsidRPr="00416EF4" w:rsidRDefault="002703B5" w:rsidP="00416EF4">
            <w:pPr>
              <w:pStyle w:val="Prrafodelista"/>
              <w:spacing w:before="120" w:after="120"/>
              <w:jc w:val="both"/>
              <w:rPr>
                <w:rFonts w:asciiTheme="minorHAnsi" w:eastAsia="Arial Narrow" w:hAnsiTheme="minorHAnsi" w:cs="Arial"/>
                <w:color w:val="000000" w:themeColor="text1"/>
                <w:sz w:val="20"/>
                <w:szCs w:val="20"/>
              </w:rPr>
            </w:pPr>
          </w:p>
          <w:p w14:paraId="5244BCF2" w14:textId="22A94DA5" w:rsidR="002703B5" w:rsidRPr="002703B5" w:rsidRDefault="002703B5" w:rsidP="00416EF4">
            <w:pPr>
              <w:pStyle w:val="Prrafodelista"/>
              <w:numPr>
                <w:ilvl w:val="0"/>
                <w:numId w:val="34"/>
              </w:numPr>
              <w:spacing w:before="120" w:after="120"/>
              <w:jc w:val="both"/>
              <w:rPr>
                <w:rFonts w:asciiTheme="minorHAnsi" w:eastAsia="Arial Narrow" w:hAnsiTheme="minorHAnsi" w:cs="Arial"/>
                <w:color w:val="000000" w:themeColor="text1"/>
                <w:sz w:val="20"/>
                <w:szCs w:val="20"/>
              </w:rPr>
            </w:pPr>
            <w:r w:rsidRPr="002703B5">
              <w:rPr>
                <w:rFonts w:asciiTheme="minorHAnsi" w:eastAsia="Arial Narrow" w:hAnsiTheme="minorHAnsi" w:cs="Arial"/>
                <w:color w:val="000000" w:themeColor="text1"/>
                <w:sz w:val="20"/>
                <w:szCs w:val="20"/>
              </w:rPr>
              <w:t>En relación con la calidad de la información revisada durante la ejecución de la auditoría, se identificaron dos casos en los que existían inconsistencias entre los valores numéricos y los valores en letras registrados en las facturas. Estas situaciones fueron verificadas y correspondieron a errores de digitación que, si bien no tuvieron impacto material en los estados financieros, evidencian debilidades en los controles de calidad de la información. Por tal razón, se emitió una recomendación orientada a fortalecer los mecanismos de revisión y validación documental antes del registro contable y/o pago.</w:t>
            </w:r>
          </w:p>
          <w:p w14:paraId="459DFB27" w14:textId="77777777" w:rsidR="00A53D43" w:rsidRPr="00F20438" w:rsidRDefault="00A53D43" w:rsidP="00416EF4">
            <w:pPr>
              <w:pStyle w:val="Prrafodelista"/>
              <w:spacing w:before="120" w:after="120"/>
              <w:jc w:val="both"/>
              <w:rPr>
                <w:rFonts w:asciiTheme="minorHAnsi" w:eastAsia="Arial Narrow" w:hAnsiTheme="minorHAnsi" w:cs="Arial"/>
                <w:color w:val="000000" w:themeColor="text1"/>
                <w:sz w:val="20"/>
                <w:szCs w:val="20"/>
              </w:rPr>
            </w:pPr>
          </w:p>
          <w:p w14:paraId="7BB8924F" w14:textId="77777777" w:rsidR="002703B5" w:rsidRDefault="00A53D43" w:rsidP="00416EF4">
            <w:pPr>
              <w:pStyle w:val="Prrafodelista"/>
              <w:numPr>
                <w:ilvl w:val="0"/>
                <w:numId w:val="34"/>
              </w:numPr>
              <w:spacing w:before="120" w:after="12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Para este componente se identificó que, para el tema de legalización de anticipos, se habían establecido los planes de acción para atender los hallazgos de la Contraloría General de la Nación  por lo cual no se registró una nueva oportunidad de mejora</w:t>
            </w:r>
            <w:r w:rsidR="005756AA" w:rsidRPr="00F20438">
              <w:rPr>
                <w:rFonts w:asciiTheme="minorHAnsi" w:eastAsia="Arial Narrow" w:hAnsiTheme="minorHAnsi" w:cs="Arial"/>
                <w:color w:val="000000" w:themeColor="text1"/>
                <w:sz w:val="20"/>
                <w:szCs w:val="20"/>
              </w:rPr>
              <w:t xml:space="preserve"> por este concepto</w:t>
            </w:r>
            <w:r w:rsidRPr="00F20438">
              <w:rPr>
                <w:rFonts w:asciiTheme="minorHAnsi" w:eastAsia="Arial Narrow" w:hAnsiTheme="minorHAnsi" w:cs="Arial"/>
                <w:color w:val="000000" w:themeColor="text1"/>
                <w:sz w:val="20"/>
                <w:szCs w:val="20"/>
              </w:rPr>
              <w:t xml:space="preserve">, pero sí de dejó la recomendación enfocada a continuar con las gestiones necesarias ante los casos de procesos jurídicos para que se logren recuperar los recursos de los anticipos y </w:t>
            </w:r>
            <w:r w:rsidR="005756AA" w:rsidRPr="00F20438">
              <w:rPr>
                <w:rFonts w:asciiTheme="minorHAnsi" w:eastAsia="Arial Narrow" w:hAnsiTheme="minorHAnsi" w:cs="Arial"/>
                <w:color w:val="000000" w:themeColor="text1"/>
                <w:sz w:val="20"/>
                <w:szCs w:val="20"/>
              </w:rPr>
              <w:t xml:space="preserve">tomar decisiones frente a recursos que no </w:t>
            </w:r>
            <w:r w:rsidRPr="00F20438">
              <w:rPr>
                <w:rFonts w:asciiTheme="minorHAnsi" w:eastAsia="Arial Narrow" w:hAnsiTheme="minorHAnsi" w:cs="Arial"/>
                <w:color w:val="000000" w:themeColor="text1"/>
                <w:sz w:val="20"/>
                <w:szCs w:val="20"/>
              </w:rPr>
              <w:t>se han liberado.</w:t>
            </w:r>
          </w:p>
          <w:p w14:paraId="72D1D416" w14:textId="77777777" w:rsidR="002703B5" w:rsidRPr="00416EF4" w:rsidRDefault="002703B5" w:rsidP="00416EF4">
            <w:pPr>
              <w:pStyle w:val="Prrafodelista"/>
              <w:spacing w:before="120" w:after="120"/>
              <w:jc w:val="both"/>
              <w:rPr>
                <w:rFonts w:asciiTheme="minorHAnsi" w:eastAsia="Arial Narrow" w:hAnsiTheme="minorHAnsi" w:cs="Arial"/>
                <w:color w:val="000000" w:themeColor="text1"/>
                <w:sz w:val="20"/>
                <w:szCs w:val="20"/>
              </w:rPr>
            </w:pPr>
          </w:p>
          <w:p w14:paraId="4A4B4ED6" w14:textId="1BC8A6ED" w:rsidR="002703B5" w:rsidRPr="002703B5" w:rsidRDefault="002703B5" w:rsidP="00416EF4">
            <w:pPr>
              <w:pStyle w:val="Prrafodelista"/>
              <w:numPr>
                <w:ilvl w:val="0"/>
                <w:numId w:val="34"/>
              </w:numPr>
              <w:spacing w:before="120" w:after="120"/>
              <w:jc w:val="both"/>
              <w:rPr>
                <w:rFonts w:asciiTheme="minorHAnsi" w:eastAsia="Arial Narrow" w:hAnsiTheme="minorHAnsi" w:cs="Arial"/>
                <w:color w:val="000000" w:themeColor="text1"/>
                <w:sz w:val="20"/>
                <w:szCs w:val="20"/>
              </w:rPr>
            </w:pPr>
            <w:r w:rsidRPr="002703B5">
              <w:rPr>
                <w:rFonts w:asciiTheme="minorHAnsi" w:eastAsia="Arial Narrow" w:hAnsiTheme="minorHAnsi" w:cs="Arial"/>
                <w:color w:val="000000" w:themeColor="text1"/>
                <w:sz w:val="20"/>
                <w:szCs w:val="20"/>
              </w:rPr>
              <w:t>Se identificaron casos en los que las Cajas de Compensación suscribieron contratos con los mismos contratistas involucrados en otros proyectos, lo cual representa un riesgo elevado de incumplimiento en la ejecución de las obras, además de evidenciar una posible situación de exceso de confianza por parte de los contratantes. A estos contratistas se les otorgaron anticipos equivalentes al 30% del valor de cada contrato, sin que existieran controles diferenciados por nivel de exposición o concentración contractual. En particular, se evidenció que algunos terceros acumulaban más de dos o tres contratos con anticipos girados y aún no legalizados. Un caso representativo es el del contratista Nelson Ramón Molinares Amaya, quien presenta anticipos pendientes de legalizar por un valor de $3.011 millones, correspondientes a contratos actualmente en proceso jurídico.</w:t>
            </w:r>
          </w:p>
          <w:p w14:paraId="4ECCA827" w14:textId="0DBABB6D" w:rsidR="00CB3D8E" w:rsidRDefault="00CB3D8E" w:rsidP="00416EF4">
            <w:pPr>
              <w:pStyle w:val="Prrafodelista"/>
              <w:spacing w:before="120" w:after="120"/>
              <w:jc w:val="both"/>
              <w:rPr>
                <w:rFonts w:asciiTheme="minorHAnsi" w:eastAsia="Arial Narrow" w:hAnsiTheme="minorHAnsi" w:cs="Arial"/>
                <w:color w:val="000000" w:themeColor="text1"/>
                <w:sz w:val="20"/>
                <w:szCs w:val="20"/>
              </w:rPr>
            </w:pPr>
          </w:p>
          <w:p w14:paraId="07A23D64" w14:textId="6AE22F3F" w:rsidR="00CB3D8E" w:rsidRDefault="00CB3D8E" w:rsidP="00CB3D8E">
            <w:pPr>
              <w:pStyle w:val="Prrafodelista"/>
              <w:spacing w:before="120" w:after="120"/>
              <w:jc w:val="center"/>
              <w:rPr>
                <w:rFonts w:asciiTheme="minorHAnsi" w:eastAsia="Arial Narrow" w:hAnsiTheme="minorHAnsi" w:cs="Arial"/>
                <w:color w:val="000000" w:themeColor="text1"/>
                <w:sz w:val="20"/>
                <w:szCs w:val="20"/>
              </w:rPr>
            </w:pPr>
            <w:r w:rsidRPr="00CB3D8E">
              <w:rPr>
                <w:rFonts w:asciiTheme="minorHAnsi" w:eastAsia="Arial Narrow" w:hAnsiTheme="minorHAnsi" w:cs="Arial"/>
                <w:color w:val="000000" w:themeColor="text1"/>
                <w:sz w:val="20"/>
                <w:szCs w:val="20"/>
              </w:rPr>
              <w:drawing>
                <wp:inline distT="0" distB="0" distL="0" distR="0" wp14:anchorId="023B84B1" wp14:editId="4E5D894C">
                  <wp:extent cx="4304342" cy="3050248"/>
                  <wp:effectExtent l="0" t="0" r="1270" b="0"/>
                  <wp:docPr id="10953809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380935" name=""/>
                          <pic:cNvPicPr/>
                        </pic:nvPicPr>
                        <pic:blipFill>
                          <a:blip r:embed="rId13"/>
                          <a:stretch>
                            <a:fillRect/>
                          </a:stretch>
                        </pic:blipFill>
                        <pic:spPr>
                          <a:xfrm>
                            <a:off x="0" y="0"/>
                            <a:ext cx="4311345" cy="3055211"/>
                          </a:xfrm>
                          <a:prstGeom prst="rect">
                            <a:avLst/>
                          </a:prstGeom>
                        </pic:spPr>
                      </pic:pic>
                    </a:graphicData>
                  </a:graphic>
                </wp:inline>
              </w:drawing>
            </w:r>
          </w:p>
          <w:p w14:paraId="59C17B72" w14:textId="3A8CD515" w:rsidR="00CB3D8E" w:rsidRDefault="00CB3D8E" w:rsidP="00CB3D8E">
            <w:pPr>
              <w:pStyle w:val="Prrafodelista"/>
              <w:spacing w:before="120" w:after="120"/>
              <w:jc w:val="center"/>
              <w:rPr>
                <w:rFonts w:asciiTheme="minorHAnsi" w:eastAsia="Arial Narrow" w:hAnsiTheme="minorHAnsi" w:cs="Arial"/>
                <w:color w:val="000000" w:themeColor="text1"/>
                <w:sz w:val="20"/>
                <w:szCs w:val="20"/>
              </w:rPr>
            </w:pPr>
          </w:p>
          <w:p w14:paraId="5A4974FF" w14:textId="321B2B97" w:rsidR="00A53D43" w:rsidRPr="00F20438" w:rsidRDefault="00A53D43" w:rsidP="00416EF4">
            <w:pPr>
              <w:pStyle w:val="Prrafodelista"/>
              <w:numPr>
                <w:ilvl w:val="1"/>
                <w:numId w:val="32"/>
              </w:numPr>
              <w:spacing w:before="240" w:after="120"/>
              <w:ind w:left="1170"/>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 xml:space="preserve">Recomendaciones </w:t>
            </w:r>
          </w:p>
          <w:p w14:paraId="7BF75CB8" w14:textId="2CC318F2" w:rsidR="002703B5" w:rsidRPr="007F08FD" w:rsidRDefault="002703B5" w:rsidP="002703B5">
            <w:p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Se recomienda implementar estrategias efectivas que permitan agilizar, en la medida de lo posible, los procesos jurídicos actualmente en curso, considerando que los contratos y/o proyectos involucrados presentan anticipos pendientes por legalizar por un valor estimado de $6.314 millones. Adicionalmente, se encuentran recursos comprometidos sin liberar por un valor aproximado de $</w:t>
            </w:r>
            <w:r w:rsidR="00F52EB8">
              <w:rPr>
                <w:rFonts w:asciiTheme="minorHAnsi" w:eastAsia="Arial Narrow" w:hAnsiTheme="minorHAnsi" w:cs="Arial"/>
                <w:color w:val="000000" w:themeColor="text1"/>
                <w:sz w:val="20"/>
                <w:szCs w:val="20"/>
              </w:rPr>
              <w:t>27.547.</w:t>
            </w:r>
            <w:r w:rsidRPr="007F08FD">
              <w:rPr>
                <w:rFonts w:asciiTheme="minorHAnsi" w:eastAsia="Arial Narrow" w:hAnsiTheme="minorHAnsi" w:cs="Arial"/>
                <w:color w:val="000000" w:themeColor="text1"/>
                <w:sz w:val="20"/>
                <w:szCs w:val="20"/>
              </w:rPr>
              <w:t xml:space="preserve"> millones, lo que afecta la disponibilidad financiera y la gestión eficiente del portafolio de proyectos del Fondo.</w:t>
            </w:r>
          </w:p>
          <w:p w14:paraId="0E633DFF" w14:textId="77777777" w:rsidR="002703B5" w:rsidRPr="007F08FD" w:rsidRDefault="002703B5" w:rsidP="002703B5">
            <w:pPr>
              <w:jc w:val="both"/>
              <w:rPr>
                <w:rFonts w:asciiTheme="minorHAnsi" w:eastAsia="Arial Narrow" w:hAnsiTheme="minorHAnsi" w:cs="Arial"/>
                <w:color w:val="000000" w:themeColor="text1"/>
                <w:sz w:val="20"/>
                <w:szCs w:val="20"/>
              </w:rPr>
            </w:pPr>
          </w:p>
          <w:p w14:paraId="1FA4812C" w14:textId="04FC4217" w:rsidR="002703B5" w:rsidRPr="002703B5" w:rsidRDefault="002703B5" w:rsidP="002703B5">
            <w:pPr>
              <w:jc w:val="both"/>
              <w:rPr>
                <w:rFonts w:asciiTheme="minorHAnsi" w:eastAsia="Arial Narrow" w:hAnsiTheme="minorHAnsi" w:cs="Arial"/>
                <w:color w:val="000000" w:themeColor="text1"/>
                <w:sz w:val="20"/>
                <w:szCs w:val="20"/>
              </w:rPr>
            </w:pPr>
            <w:r w:rsidRPr="002703B5">
              <w:rPr>
                <w:rFonts w:asciiTheme="minorHAnsi" w:eastAsia="Arial Narrow" w:hAnsiTheme="minorHAnsi" w:cs="Arial"/>
                <w:color w:val="000000" w:themeColor="text1"/>
                <w:sz w:val="20"/>
                <w:szCs w:val="20"/>
              </w:rPr>
              <w:t>Así mismo, se sugiere incluir cláusulas contractuales específicas en los nuevos contratos, que prohíban expresamente la subcontratación con terceros que mantengan procesos jurídicos vigentes con la Entidad. Esta disposición busca prevenir riesgos de incumplimiento, fortalecer el control sobre la ejecución contractual y proteger los recursos públicos.</w:t>
            </w:r>
          </w:p>
          <w:p w14:paraId="624F7A84" w14:textId="1BEC31AF" w:rsidR="00A53D43" w:rsidRDefault="00A53D43" w:rsidP="00416EF4">
            <w:pPr>
              <w:pStyle w:val="Prrafodelista"/>
              <w:numPr>
                <w:ilvl w:val="0"/>
                <w:numId w:val="16"/>
              </w:numPr>
              <w:spacing w:before="240" w:after="240"/>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COMPONENTE DE PROCESOS</w:t>
            </w:r>
          </w:p>
          <w:p w14:paraId="407939B3" w14:textId="77777777" w:rsidR="00D61F60" w:rsidRPr="00F20438" w:rsidRDefault="00D61F60" w:rsidP="00D61F60">
            <w:pPr>
              <w:pStyle w:val="Prrafodelista"/>
              <w:spacing w:before="240" w:after="240"/>
              <w:jc w:val="both"/>
              <w:rPr>
                <w:rFonts w:asciiTheme="minorHAnsi" w:eastAsia="Arial Narrow" w:hAnsiTheme="minorHAnsi" w:cs="Arial"/>
                <w:b/>
                <w:bCs/>
                <w:color w:val="002465"/>
                <w:sz w:val="20"/>
                <w:szCs w:val="20"/>
              </w:rPr>
            </w:pPr>
          </w:p>
          <w:p w14:paraId="5F10E3FC" w14:textId="7A5796B3" w:rsidR="00EB4599" w:rsidRPr="00416EF4" w:rsidRDefault="007E3D73" w:rsidP="00416EF4">
            <w:pPr>
              <w:pStyle w:val="Prrafodelista"/>
              <w:numPr>
                <w:ilvl w:val="1"/>
                <w:numId w:val="35"/>
              </w:numPr>
              <w:spacing w:before="240" w:after="120"/>
              <w:ind w:left="1029"/>
              <w:jc w:val="both"/>
              <w:rPr>
                <w:rFonts w:asciiTheme="minorHAnsi" w:eastAsia="Arial Narrow" w:hAnsiTheme="minorHAnsi" w:cs="Arial"/>
                <w:b/>
                <w:bCs/>
                <w:color w:val="002465"/>
                <w:sz w:val="20"/>
                <w:szCs w:val="20"/>
              </w:rPr>
            </w:pPr>
            <w:r w:rsidRPr="00416EF4">
              <w:rPr>
                <w:rFonts w:asciiTheme="minorHAnsi" w:eastAsia="Arial Narrow" w:hAnsiTheme="minorHAnsi" w:cs="Arial"/>
                <w:b/>
                <w:bCs/>
                <w:color w:val="002465"/>
                <w:sz w:val="20"/>
                <w:szCs w:val="20"/>
              </w:rPr>
              <w:t xml:space="preserve">Actividades Realizadas </w:t>
            </w:r>
          </w:p>
          <w:p w14:paraId="7BD31A48" w14:textId="77777777" w:rsidR="007E3D73" w:rsidRPr="00F20438" w:rsidRDefault="007E3D73" w:rsidP="007E3D73">
            <w:pPr>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En el marco del ejercicio de auditoría, se desarrolló la evaluación del componente de Procesos, con el propósito de verificar el cumplimiento de los lineamientos institucionales y la aplicación efectiva de herramientas de gestión a lo largo del ciclo de vida de los proyectos auditados. Esta evaluación se orientó al análisis de la existencia, aplicación y trazabilidad de documentos clave que permitieran evidenciar una planificación adecuada, una ejecución controlada y un seguimiento de los compromisos y resultados obtenidos.</w:t>
            </w:r>
          </w:p>
          <w:p w14:paraId="035EE530" w14:textId="77777777" w:rsidR="00D16E2B" w:rsidRPr="00F20438" w:rsidRDefault="00D16E2B" w:rsidP="007E3D73">
            <w:pPr>
              <w:jc w:val="both"/>
              <w:rPr>
                <w:rFonts w:asciiTheme="minorHAnsi" w:eastAsia="Arial Narrow" w:hAnsiTheme="minorHAnsi" w:cs="Arial"/>
                <w:color w:val="000000" w:themeColor="text1"/>
                <w:sz w:val="20"/>
                <w:szCs w:val="20"/>
              </w:rPr>
            </w:pPr>
          </w:p>
          <w:p w14:paraId="6CA42893" w14:textId="3240C1B6" w:rsidR="007E3D73" w:rsidRDefault="007E3D73" w:rsidP="007E3D73">
            <w:pPr>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 xml:space="preserve">Con el fin de dar cumplimiento a esta validación, se revisaron los siguientes </w:t>
            </w:r>
            <w:r w:rsidR="00D16E2B" w:rsidRPr="00F20438">
              <w:rPr>
                <w:rFonts w:asciiTheme="minorHAnsi" w:eastAsia="Arial Narrow" w:hAnsiTheme="minorHAnsi" w:cs="Arial"/>
                <w:color w:val="000000" w:themeColor="text1"/>
                <w:sz w:val="20"/>
                <w:szCs w:val="20"/>
              </w:rPr>
              <w:t>aspectos</w:t>
            </w:r>
            <w:r w:rsidRPr="00F20438">
              <w:rPr>
                <w:rFonts w:asciiTheme="minorHAnsi" w:eastAsia="Arial Narrow" w:hAnsiTheme="minorHAnsi" w:cs="Arial"/>
                <w:color w:val="000000" w:themeColor="text1"/>
                <w:sz w:val="20"/>
                <w:szCs w:val="20"/>
              </w:rPr>
              <w:t>: el cumplimiento de las fases del proyecto, la documentación y evidencias de las actividades ejecutadas, así como la revisión de la matriz de riesgos en el contexto de la auditoría de los proyectos.</w:t>
            </w:r>
          </w:p>
          <w:p w14:paraId="4AACC0B6" w14:textId="500AEC3E" w:rsidR="007E3D73" w:rsidRPr="00F20438" w:rsidRDefault="007E3D73" w:rsidP="00416EF4">
            <w:pPr>
              <w:pStyle w:val="Prrafodelista"/>
              <w:numPr>
                <w:ilvl w:val="1"/>
                <w:numId w:val="35"/>
              </w:numPr>
              <w:spacing w:before="240" w:after="120"/>
              <w:ind w:left="1029"/>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 xml:space="preserve">Situaciones Identificadas </w:t>
            </w:r>
          </w:p>
          <w:p w14:paraId="389DBD4F" w14:textId="77777777" w:rsidR="00D61F60" w:rsidRDefault="00D61F60" w:rsidP="00D61F60">
            <w:pPr>
              <w:pStyle w:val="Prrafodelista"/>
              <w:jc w:val="both"/>
              <w:rPr>
                <w:rFonts w:asciiTheme="minorHAnsi" w:eastAsia="Arial Narrow" w:hAnsiTheme="minorHAnsi" w:cs="Arial"/>
                <w:color w:val="000000" w:themeColor="text1"/>
                <w:sz w:val="20"/>
                <w:szCs w:val="20"/>
              </w:rPr>
            </w:pPr>
          </w:p>
          <w:p w14:paraId="70B5894F" w14:textId="4708D344" w:rsidR="007E3D73" w:rsidRPr="007F08FD" w:rsidRDefault="007E3D73" w:rsidP="00416EF4">
            <w:pPr>
              <w:pStyle w:val="Prrafodelista"/>
              <w:numPr>
                <w:ilvl w:val="0"/>
                <w:numId w:val="36"/>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 xml:space="preserve">Como resultado </w:t>
            </w:r>
            <w:r w:rsidR="00D16E2B" w:rsidRPr="007F08FD">
              <w:rPr>
                <w:rFonts w:asciiTheme="minorHAnsi" w:eastAsia="Arial Narrow" w:hAnsiTheme="minorHAnsi" w:cs="Arial"/>
                <w:color w:val="000000" w:themeColor="text1"/>
                <w:sz w:val="20"/>
                <w:szCs w:val="20"/>
              </w:rPr>
              <w:t>de la</w:t>
            </w:r>
            <w:r w:rsidRPr="007F08FD">
              <w:rPr>
                <w:rFonts w:asciiTheme="minorHAnsi" w:eastAsia="Arial Narrow" w:hAnsiTheme="minorHAnsi" w:cs="Arial"/>
                <w:color w:val="000000" w:themeColor="text1"/>
                <w:sz w:val="20"/>
                <w:szCs w:val="20"/>
              </w:rPr>
              <w:t xml:space="preserve"> auditoría ejecutada por procesos, se identificaron 7 proyectos (21.2</w:t>
            </w:r>
            <w:r w:rsidRPr="007F08FD">
              <w:rPr>
                <w:rFonts w:ascii="Arial" w:eastAsia="Arial Narrow" w:hAnsi="Arial" w:cs="Arial"/>
                <w:color w:val="000000" w:themeColor="text1"/>
                <w:sz w:val="20"/>
                <w:szCs w:val="20"/>
              </w:rPr>
              <w:t> </w:t>
            </w:r>
            <w:r w:rsidRPr="007F08FD">
              <w:rPr>
                <w:rFonts w:asciiTheme="minorHAnsi" w:eastAsia="Arial Narrow" w:hAnsiTheme="minorHAnsi" w:cs="Arial"/>
                <w:color w:val="000000" w:themeColor="text1"/>
                <w:sz w:val="20"/>
                <w:szCs w:val="20"/>
              </w:rPr>
              <w:t>%) en los que fue necesario formular oportunidades de mejora por incumplimientos relacionadas con la gesti</w:t>
            </w:r>
            <w:r w:rsidRPr="007F08FD">
              <w:rPr>
                <w:rFonts w:ascii="Aptos" w:eastAsia="Arial Narrow" w:hAnsi="Aptos" w:cs="Aptos"/>
                <w:color w:val="000000" w:themeColor="text1"/>
                <w:sz w:val="20"/>
                <w:szCs w:val="20"/>
              </w:rPr>
              <w:t>ó</w:t>
            </w:r>
            <w:r w:rsidRPr="007F08FD">
              <w:rPr>
                <w:rFonts w:asciiTheme="minorHAnsi" w:eastAsia="Arial Narrow" w:hAnsiTheme="minorHAnsi" w:cs="Arial"/>
                <w:color w:val="000000" w:themeColor="text1"/>
                <w:sz w:val="20"/>
                <w:szCs w:val="20"/>
              </w:rPr>
              <w:t>n del riesgo. De estas, 6 auditor</w:t>
            </w:r>
            <w:r w:rsidRPr="007F08FD">
              <w:rPr>
                <w:rFonts w:ascii="Aptos" w:eastAsia="Arial Narrow" w:hAnsi="Aptos" w:cs="Aptos"/>
                <w:color w:val="000000" w:themeColor="text1"/>
                <w:sz w:val="20"/>
                <w:szCs w:val="20"/>
              </w:rPr>
              <w:t>í</w:t>
            </w:r>
            <w:r w:rsidRPr="007F08FD">
              <w:rPr>
                <w:rFonts w:asciiTheme="minorHAnsi" w:eastAsia="Arial Narrow" w:hAnsiTheme="minorHAnsi" w:cs="Arial"/>
                <w:color w:val="000000" w:themeColor="text1"/>
                <w:sz w:val="20"/>
                <w:szCs w:val="20"/>
              </w:rPr>
              <w:t>as evidenciaron la ausencia total de matrices de riesgos estructuradas, mientras que 1 auditor</w:t>
            </w:r>
            <w:r w:rsidRPr="007F08FD">
              <w:rPr>
                <w:rFonts w:ascii="Aptos" w:eastAsia="Arial Narrow" w:hAnsi="Aptos" w:cs="Aptos"/>
                <w:color w:val="000000" w:themeColor="text1"/>
                <w:sz w:val="20"/>
                <w:szCs w:val="20"/>
              </w:rPr>
              <w:t>í</w:t>
            </w:r>
            <w:r w:rsidRPr="007F08FD">
              <w:rPr>
                <w:rFonts w:asciiTheme="minorHAnsi" w:eastAsia="Arial Narrow" w:hAnsiTheme="minorHAnsi" w:cs="Arial"/>
                <w:color w:val="000000" w:themeColor="text1"/>
                <w:sz w:val="20"/>
                <w:szCs w:val="20"/>
              </w:rPr>
              <w:t>a reflej</w:t>
            </w:r>
            <w:r w:rsidRPr="007F08FD">
              <w:rPr>
                <w:rFonts w:ascii="Aptos" w:eastAsia="Arial Narrow" w:hAnsi="Aptos" w:cs="Aptos"/>
                <w:color w:val="000000" w:themeColor="text1"/>
                <w:sz w:val="20"/>
                <w:szCs w:val="20"/>
              </w:rPr>
              <w:t>ó</w:t>
            </w:r>
            <w:r w:rsidRPr="007F08FD">
              <w:rPr>
                <w:rFonts w:asciiTheme="minorHAnsi" w:eastAsia="Arial Narrow" w:hAnsiTheme="minorHAnsi" w:cs="Arial"/>
                <w:color w:val="000000" w:themeColor="text1"/>
                <w:sz w:val="20"/>
                <w:szCs w:val="20"/>
              </w:rPr>
              <w:t xml:space="preserve"> incumplimiento del Decreto 1072 de 2015, al no demostrar gesti</w:t>
            </w:r>
            <w:r w:rsidRPr="007F08FD">
              <w:rPr>
                <w:rFonts w:ascii="Aptos" w:eastAsia="Arial Narrow" w:hAnsi="Aptos" w:cs="Aptos"/>
                <w:color w:val="000000" w:themeColor="text1"/>
                <w:sz w:val="20"/>
                <w:szCs w:val="20"/>
              </w:rPr>
              <w:t>ó</w:t>
            </w:r>
            <w:r w:rsidRPr="007F08FD">
              <w:rPr>
                <w:rFonts w:asciiTheme="minorHAnsi" w:eastAsia="Arial Narrow" w:hAnsiTheme="minorHAnsi" w:cs="Arial"/>
                <w:color w:val="000000" w:themeColor="text1"/>
                <w:sz w:val="20"/>
                <w:szCs w:val="20"/>
              </w:rPr>
              <w:t>n y mitigaci</w:t>
            </w:r>
            <w:r w:rsidRPr="007F08FD">
              <w:rPr>
                <w:rFonts w:ascii="Aptos" w:eastAsia="Arial Narrow" w:hAnsi="Aptos" w:cs="Aptos"/>
                <w:color w:val="000000" w:themeColor="text1"/>
                <w:sz w:val="20"/>
                <w:szCs w:val="20"/>
              </w:rPr>
              <w:t>ó</w:t>
            </w:r>
            <w:r w:rsidRPr="007F08FD">
              <w:rPr>
                <w:rFonts w:asciiTheme="minorHAnsi" w:eastAsia="Arial Narrow" w:hAnsiTheme="minorHAnsi" w:cs="Arial"/>
                <w:color w:val="000000" w:themeColor="text1"/>
                <w:sz w:val="20"/>
                <w:szCs w:val="20"/>
              </w:rPr>
              <w:t>n de riesgos laborales.</w:t>
            </w:r>
          </w:p>
          <w:p w14:paraId="2E692BA3" w14:textId="77777777" w:rsidR="007E3D73" w:rsidRPr="007F08FD" w:rsidRDefault="007E3D73" w:rsidP="007E3D73">
            <w:pPr>
              <w:pStyle w:val="Prrafodelista"/>
              <w:jc w:val="both"/>
              <w:rPr>
                <w:rFonts w:asciiTheme="minorHAnsi" w:eastAsia="Arial Narrow" w:hAnsiTheme="minorHAnsi" w:cs="Arial"/>
                <w:color w:val="000000" w:themeColor="text1"/>
                <w:sz w:val="20"/>
                <w:szCs w:val="20"/>
              </w:rPr>
            </w:pPr>
          </w:p>
          <w:p w14:paraId="7AC92F1C" w14:textId="22BA8A03" w:rsidR="007E3D73" w:rsidRPr="007F08FD" w:rsidRDefault="007E3D73" w:rsidP="00416EF4">
            <w:pPr>
              <w:pStyle w:val="Prrafodelista"/>
              <w:numPr>
                <w:ilvl w:val="0"/>
                <w:numId w:val="36"/>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Asimismo, en las restantes 26 auditorías (78.8</w:t>
            </w:r>
            <w:r w:rsidRPr="007F08FD">
              <w:rPr>
                <w:rFonts w:ascii="Arial" w:eastAsia="Arial Narrow" w:hAnsi="Arial" w:cs="Arial"/>
                <w:color w:val="000000" w:themeColor="text1"/>
                <w:sz w:val="20"/>
                <w:szCs w:val="20"/>
              </w:rPr>
              <w:t> </w:t>
            </w:r>
            <w:r w:rsidR="00A76B7D" w:rsidRPr="007F08FD">
              <w:rPr>
                <w:rFonts w:asciiTheme="minorHAnsi" w:eastAsia="Arial Narrow" w:hAnsiTheme="minorHAnsi" w:cs="Arial"/>
                <w:color w:val="000000" w:themeColor="text1"/>
                <w:sz w:val="20"/>
                <w:szCs w:val="20"/>
              </w:rPr>
              <w:t>%) se</w:t>
            </w:r>
            <w:r w:rsidRPr="007F08FD">
              <w:rPr>
                <w:rFonts w:asciiTheme="minorHAnsi" w:eastAsia="Arial Narrow" w:hAnsiTheme="minorHAnsi" w:cs="Arial"/>
                <w:color w:val="000000" w:themeColor="text1"/>
                <w:sz w:val="20"/>
                <w:szCs w:val="20"/>
              </w:rPr>
              <w:t xml:space="preserve"> evidenció la existencia de una matriz de riesgos,</w:t>
            </w:r>
            <w:r w:rsidR="00D16E2B" w:rsidRPr="007F08FD">
              <w:rPr>
                <w:rFonts w:asciiTheme="minorHAnsi" w:eastAsia="Arial Narrow" w:hAnsiTheme="minorHAnsi" w:cs="Arial"/>
                <w:color w:val="000000" w:themeColor="text1"/>
                <w:sz w:val="20"/>
                <w:szCs w:val="20"/>
              </w:rPr>
              <w:t xml:space="preserve"> pero</w:t>
            </w:r>
            <w:r w:rsidRPr="007F08FD">
              <w:rPr>
                <w:rFonts w:asciiTheme="minorHAnsi" w:eastAsia="Arial Narrow" w:hAnsiTheme="minorHAnsi" w:cs="Arial"/>
                <w:color w:val="000000" w:themeColor="text1"/>
                <w:sz w:val="20"/>
                <w:szCs w:val="20"/>
              </w:rPr>
              <w:t xml:space="preserve"> se observaron fallas generalizadas en el seguimiento y monitoreo de los riesgos identificados. </w:t>
            </w:r>
          </w:p>
          <w:p w14:paraId="13212E99" w14:textId="77777777" w:rsidR="007E3D73" w:rsidRPr="007F08FD" w:rsidRDefault="007E3D73" w:rsidP="007E3D73">
            <w:pPr>
              <w:pStyle w:val="Prrafodelista"/>
              <w:rPr>
                <w:rFonts w:asciiTheme="minorHAnsi" w:eastAsia="Arial Narrow" w:hAnsiTheme="minorHAnsi" w:cs="Arial"/>
                <w:color w:val="000000" w:themeColor="text1"/>
                <w:sz w:val="20"/>
                <w:szCs w:val="20"/>
              </w:rPr>
            </w:pPr>
          </w:p>
          <w:p w14:paraId="7F6189EA" w14:textId="106E83F6" w:rsidR="007E3D73" w:rsidRPr="007F08FD" w:rsidRDefault="007E3D73" w:rsidP="00416EF4">
            <w:pPr>
              <w:pStyle w:val="Prrafodelista"/>
              <w:numPr>
                <w:ilvl w:val="0"/>
                <w:numId w:val="36"/>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Aunque se había efectuado una identificación inicial que contemplaba riesgos contractuales, operativos, logísticos y de ejecución, no se encontró documentación que respaldara la implementación efectiva de los controles definidos ni la verificación de acciones de mitigación. Esta situación afectó la trazabilidad, el control y la capacidad de respuesta oportuna durante la ejecución del proyecto.</w:t>
            </w:r>
          </w:p>
          <w:p w14:paraId="0E24EF1D" w14:textId="77777777" w:rsidR="007E3D73" w:rsidRPr="007F08FD" w:rsidRDefault="007E3D73" w:rsidP="007E3D73">
            <w:pPr>
              <w:pStyle w:val="Prrafodelista"/>
              <w:rPr>
                <w:rFonts w:asciiTheme="minorHAnsi" w:eastAsia="Arial Narrow" w:hAnsiTheme="minorHAnsi" w:cs="Arial"/>
                <w:color w:val="000000" w:themeColor="text1"/>
                <w:sz w:val="20"/>
                <w:szCs w:val="20"/>
              </w:rPr>
            </w:pPr>
          </w:p>
          <w:p w14:paraId="5BF4DDB4" w14:textId="45B5FC3D" w:rsidR="007E3D73" w:rsidRPr="00F20438" w:rsidRDefault="007E3D73" w:rsidP="00416EF4">
            <w:pPr>
              <w:pStyle w:val="Prrafodelista"/>
              <w:numPr>
                <w:ilvl w:val="0"/>
                <w:numId w:val="36"/>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En conjunto, las oportunidades de mejora</w:t>
            </w:r>
            <w:r w:rsidRPr="00F20438">
              <w:rPr>
                <w:rFonts w:asciiTheme="minorHAnsi" w:eastAsia="Arial Narrow" w:hAnsiTheme="minorHAnsi" w:cs="Arial"/>
                <w:color w:val="000000" w:themeColor="text1"/>
                <w:sz w:val="20"/>
                <w:szCs w:val="20"/>
              </w:rPr>
              <w:t xml:space="preserve"> reflejan una debilidad estructural en la gestión preventiva de los proyectos. Por un lado, cerca de una quinta parte de los proyectos auditados (21</w:t>
            </w:r>
            <w:r w:rsidRPr="00F20438">
              <w:rPr>
                <w:rFonts w:ascii="Arial" w:eastAsia="Arial Narrow" w:hAnsi="Arial" w:cs="Arial"/>
                <w:color w:val="000000" w:themeColor="text1"/>
                <w:sz w:val="20"/>
                <w:szCs w:val="20"/>
              </w:rPr>
              <w:t> </w:t>
            </w:r>
            <w:r w:rsidRPr="00F20438">
              <w:rPr>
                <w:rFonts w:asciiTheme="minorHAnsi" w:eastAsia="Arial Narrow" w:hAnsiTheme="minorHAnsi" w:cs="Arial"/>
                <w:color w:val="000000" w:themeColor="text1"/>
                <w:sz w:val="20"/>
                <w:szCs w:val="20"/>
              </w:rPr>
              <w:t>%) no contaban con una herramienta formal para identificar y gestionar riesgos</w:t>
            </w:r>
            <w:r w:rsidR="00D16E2B" w:rsidRPr="00F20438">
              <w:rPr>
                <w:rFonts w:asciiTheme="minorHAnsi" w:eastAsia="Arial Narrow" w:hAnsiTheme="minorHAnsi" w:cs="Arial"/>
                <w:color w:val="000000" w:themeColor="text1"/>
                <w:sz w:val="20"/>
                <w:szCs w:val="20"/>
              </w:rPr>
              <w:t xml:space="preserve"> </w:t>
            </w:r>
            <w:r w:rsidRPr="00F20438">
              <w:rPr>
                <w:rFonts w:asciiTheme="minorHAnsi" w:eastAsia="Arial Narrow" w:hAnsiTheme="minorHAnsi" w:cs="Arial"/>
                <w:color w:val="000000" w:themeColor="text1"/>
                <w:sz w:val="20"/>
                <w:szCs w:val="20"/>
              </w:rPr>
              <w:t>(matriz de riesgos) Por otro lado, en aproximadamente el 80% de los casos donde sí existía una matriz, no se realizó un monitoreo adecuado que permitiera garantizar el control continuo y la actualización de los riesgos conforme avanzaba la ejecución del proyecto.</w:t>
            </w:r>
          </w:p>
          <w:p w14:paraId="0CDB53DD" w14:textId="77777777" w:rsidR="007E3D73" w:rsidRPr="00F20438" w:rsidRDefault="007E3D73" w:rsidP="007E3D73">
            <w:pPr>
              <w:pStyle w:val="Prrafodelista"/>
              <w:rPr>
                <w:rFonts w:asciiTheme="minorHAnsi" w:eastAsia="Arial Narrow" w:hAnsiTheme="minorHAnsi" w:cs="Arial"/>
                <w:color w:val="000000" w:themeColor="text1"/>
                <w:sz w:val="20"/>
                <w:szCs w:val="20"/>
              </w:rPr>
            </w:pPr>
          </w:p>
          <w:p w14:paraId="24CDF922" w14:textId="52570568" w:rsidR="007E3D73" w:rsidRPr="00F20438" w:rsidRDefault="007E3D73" w:rsidP="00416EF4">
            <w:pPr>
              <w:pStyle w:val="Prrafodelista"/>
              <w:numPr>
                <w:ilvl w:val="1"/>
                <w:numId w:val="35"/>
              </w:numPr>
              <w:spacing w:before="240" w:after="120"/>
              <w:ind w:left="1029"/>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 xml:space="preserve">Recomendaciones </w:t>
            </w:r>
          </w:p>
          <w:p w14:paraId="513CBA18" w14:textId="77777777" w:rsidR="002703B5" w:rsidRDefault="002703B5" w:rsidP="002703B5">
            <w:pPr>
              <w:jc w:val="both"/>
              <w:rPr>
                <w:rFonts w:asciiTheme="minorHAnsi" w:eastAsia="Arial Narrow" w:hAnsiTheme="minorHAnsi" w:cs="Arial"/>
                <w:color w:val="000000" w:themeColor="text1"/>
                <w:sz w:val="20"/>
                <w:szCs w:val="20"/>
              </w:rPr>
            </w:pPr>
            <w:r w:rsidRPr="002703B5">
              <w:rPr>
                <w:rFonts w:asciiTheme="minorHAnsi" w:eastAsia="Arial Narrow" w:hAnsiTheme="minorHAnsi" w:cs="Arial"/>
                <w:color w:val="000000" w:themeColor="text1"/>
                <w:sz w:val="20"/>
                <w:szCs w:val="20"/>
              </w:rPr>
              <w:t>Con el fin de fortalecer la gestión de riesgos en los proyectos del Fondo Adaptación, se formulan las siguientes recomendaciones:</w:t>
            </w:r>
          </w:p>
          <w:p w14:paraId="689A4D0D" w14:textId="77777777" w:rsidR="002703B5" w:rsidRPr="002703B5" w:rsidRDefault="002703B5" w:rsidP="002703B5">
            <w:pPr>
              <w:jc w:val="both"/>
              <w:rPr>
                <w:rFonts w:asciiTheme="minorHAnsi" w:eastAsia="Arial Narrow" w:hAnsiTheme="minorHAnsi" w:cs="Arial"/>
                <w:color w:val="000000" w:themeColor="text1"/>
                <w:sz w:val="20"/>
                <w:szCs w:val="20"/>
              </w:rPr>
            </w:pPr>
          </w:p>
          <w:p w14:paraId="21BC090E" w14:textId="007440F8" w:rsidR="002703B5" w:rsidRPr="002703B5" w:rsidRDefault="002703B5" w:rsidP="00CB3D8E">
            <w:pPr>
              <w:pStyle w:val="Prrafodelista"/>
              <w:numPr>
                <w:ilvl w:val="0"/>
                <w:numId w:val="37"/>
              </w:numPr>
              <w:jc w:val="both"/>
              <w:rPr>
                <w:rFonts w:asciiTheme="minorHAnsi" w:eastAsia="Arial Narrow" w:hAnsiTheme="minorHAnsi" w:cs="Arial"/>
                <w:color w:val="000000" w:themeColor="text1"/>
                <w:sz w:val="20"/>
                <w:szCs w:val="20"/>
              </w:rPr>
            </w:pPr>
            <w:r w:rsidRPr="002703B5">
              <w:rPr>
                <w:rFonts w:asciiTheme="minorHAnsi" w:eastAsia="Arial Narrow" w:hAnsiTheme="minorHAnsi" w:cs="Arial"/>
                <w:color w:val="000000" w:themeColor="text1"/>
                <w:sz w:val="20"/>
                <w:szCs w:val="20"/>
              </w:rPr>
              <w:t>Implementar un mecanismo formal de seguimiento y monitoreo de riesgos, que permita actualizar periódicamente la matriz conforme al avance del proyecto, documentar las acciones correctivas implementadas, y garantizar la trazabilidad y el control efectivo de los riesgos durante toda la ejecución contractual.</w:t>
            </w:r>
          </w:p>
          <w:p w14:paraId="0251896F" w14:textId="77777777" w:rsidR="002703B5" w:rsidRPr="002703B5" w:rsidRDefault="002703B5" w:rsidP="00CB3D8E">
            <w:pPr>
              <w:jc w:val="both"/>
              <w:rPr>
                <w:rFonts w:asciiTheme="minorHAnsi" w:eastAsia="Arial Narrow" w:hAnsiTheme="minorHAnsi" w:cs="Arial"/>
                <w:color w:val="000000" w:themeColor="text1"/>
                <w:sz w:val="20"/>
                <w:szCs w:val="20"/>
              </w:rPr>
            </w:pPr>
          </w:p>
          <w:p w14:paraId="435725DF" w14:textId="39F569E8" w:rsidR="007E3D73" w:rsidRPr="00F20438" w:rsidRDefault="007E3D73" w:rsidP="00CB3D8E">
            <w:pPr>
              <w:pStyle w:val="Prrafodelista"/>
              <w:numPr>
                <w:ilvl w:val="0"/>
                <w:numId w:val="37"/>
              </w:numPr>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Establecer un documento que defina la periodicidad, los responsables y la evidencia requerida para el seguimiento de los riesgos durante toda la ejecución del proyecto.</w:t>
            </w:r>
          </w:p>
          <w:p w14:paraId="74A6BD84" w14:textId="77777777" w:rsidR="007E3D73" w:rsidRPr="00F20438" w:rsidRDefault="007E3D73" w:rsidP="00CB3D8E">
            <w:pPr>
              <w:pStyle w:val="Prrafodelista"/>
              <w:rPr>
                <w:rFonts w:asciiTheme="minorHAnsi" w:eastAsia="Arial Narrow" w:hAnsiTheme="minorHAnsi" w:cs="Arial"/>
                <w:color w:val="000000" w:themeColor="text1"/>
                <w:sz w:val="20"/>
                <w:szCs w:val="20"/>
              </w:rPr>
            </w:pPr>
          </w:p>
          <w:p w14:paraId="23B0D9DD" w14:textId="77777777" w:rsidR="007F08FD" w:rsidRDefault="007E3D73" w:rsidP="00CB3D8E">
            <w:pPr>
              <w:pStyle w:val="Prrafodelista"/>
              <w:numPr>
                <w:ilvl w:val="0"/>
                <w:numId w:val="37"/>
              </w:numPr>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Estandarizar formatos de seguimiento, incorporando campos que permitan registrar el estado del riesgo, las acciones implementadas, los resultados obtenidos y la valoración residual.</w:t>
            </w:r>
          </w:p>
          <w:p w14:paraId="52A2B0F3" w14:textId="77777777" w:rsidR="007F08FD" w:rsidRPr="007F08FD" w:rsidRDefault="007F08FD" w:rsidP="00CB3D8E">
            <w:pPr>
              <w:pStyle w:val="Prrafodelista"/>
              <w:rPr>
                <w:rStyle w:val="Textoennegrita"/>
                <w:rFonts w:eastAsiaTheme="majorEastAsia"/>
              </w:rPr>
            </w:pPr>
          </w:p>
          <w:p w14:paraId="43789124" w14:textId="2380EA7F" w:rsidR="007F08FD" w:rsidRPr="007F08FD" w:rsidRDefault="007F08FD" w:rsidP="00CB3D8E">
            <w:pPr>
              <w:pStyle w:val="Prrafodelista"/>
              <w:numPr>
                <w:ilvl w:val="0"/>
                <w:numId w:val="37"/>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Vincular la matriz de riesgos al cronograma del proyecto y a las sesiones de seguimiento periódico, de manera que su revisión sea un componente obligatorio del control operativo.</w:t>
            </w:r>
          </w:p>
          <w:p w14:paraId="461E310A" w14:textId="2EB4AAD5" w:rsidR="007E3D73" w:rsidRPr="00F20438" w:rsidRDefault="007E3D73" w:rsidP="00CB3D8E">
            <w:pPr>
              <w:pStyle w:val="Prrafodelista"/>
              <w:rPr>
                <w:rFonts w:asciiTheme="minorHAnsi" w:eastAsia="Arial Narrow" w:hAnsiTheme="minorHAnsi" w:cs="Arial"/>
                <w:color w:val="000000" w:themeColor="text1"/>
                <w:sz w:val="20"/>
                <w:szCs w:val="20"/>
              </w:rPr>
            </w:pPr>
          </w:p>
          <w:p w14:paraId="70E5C261" w14:textId="77777777" w:rsidR="007E3D73" w:rsidRPr="00F20438" w:rsidRDefault="007E3D73" w:rsidP="00CB3D8E">
            <w:pPr>
              <w:pStyle w:val="Prrafodelista"/>
              <w:numPr>
                <w:ilvl w:val="0"/>
                <w:numId w:val="37"/>
              </w:numPr>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Integrar herramientas tecnológicas, como plataformas de gestión de proyectos, que faciliten el control de versiones, generen alertas automáticas y visualicen el estado actualizado de los riesgos mediante tableros de control.</w:t>
            </w:r>
          </w:p>
          <w:p w14:paraId="558997B4" w14:textId="77777777" w:rsidR="007E3D73" w:rsidRPr="00F20438" w:rsidRDefault="007E3D73" w:rsidP="00CB3D8E">
            <w:pPr>
              <w:pStyle w:val="Prrafodelista"/>
              <w:rPr>
                <w:rFonts w:asciiTheme="minorHAnsi" w:eastAsia="Arial Narrow" w:hAnsiTheme="minorHAnsi" w:cs="Arial"/>
                <w:color w:val="000000" w:themeColor="text1"/>
                <w:sz w:val="20"/>
                <w:szCs w:val="20"/>
              </w:rPr>
            </w:pPr>
          </w:p>
          <w:p w14:paraId="395F0594" w14:textId="77777777" w:rsidR="007E3D73" w:rsidRPr="00F20438" w:rsidRDefault="007E3D73" w:rsidP="00CB3D8E">
            <w:pPr>
              <w:pStyle w:val="Prrafodelista"/>
              <w:numPr>
                <w:ilvl w:val="0"/>
                <w:numId w:val="37"/>
              </w:numPr>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Capacitar al equipo técnico e interventores en el monitoreo activo de riesgos, promoviendo una cultura organizacional basada en la prevención y la mejora continua.</w:t>
            </w:r>
          </w:p>
          <w:p w14:paraId="36BD06FC" w14:textId="77777777" w:rsidR="007E3D73" w:rsidRPr="00F20438" w:rsidRDefault="007E3D73" w:rsidP="00CB3D8E">
            <w:pPr>
              <w:pStyle w:val="Prrafodelista"/>
              <w:rPr>
                <w:rFonts w:asciiTheme="minorHAnsi" w:eastAsia="Arial Narrow" w:hAnsiTheme="minorHAnsi" w:cs="Arial"/>
                <w:color w:val="000000" w:themeColor="text1"/>
                <w:sz w:val="20"/>
                <w:szCs w:val="20"/>
              </w:rPr>
            </w:pPr>
          </w:p>
          <w:p w14:paraId="0D65C414" w14:textId="77777777" w:rsidR="007E3D73" w:rsidRPr="00F20438" w:rsidRDefault="007E3D73" w:rsidP="00CB3D8E">
            <w:pPr>
              <w:pStyle w:val="Prrafodelista"/>
              <w:numPr>
                <w:ilvl w:val="0"/>
                <w:numId w:val="37"/>
              </w:numPr>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Asignar responsables específicos por categoría de riesgo, con mecanismos definidos de reporte y control.</w:t>
            </w:r>
          </w:p>
          <w:p w14:paraId="141FE76B" w14:textId="77777777" w:rsidR="007E3D73" w:rsidRPr="00F20438" w:rsidRDefault="007E3D73" w:rsidP="00CB3D8E">
            <w:pPr>
              <w:pStyle w:val="Prrafodelista"/>
              <w:jc w:val="both"/>
              <w:rPr>
                <w:rFonts w:asciiTheme="minorHAnsi" w:eastAsia="Arial Narrow" w:hAnsiTheme="minorHAnsi" w:cs="Arial"/>
                <w:color w:val="000000" w:themeColor="text1"/>
                <w:sz w:val="20"/>
                <w:szCs w:val="20"/>
              </w:rPr>
            </w:pPr>
          </w:p>
          <w:p w14:paraId="26FDB788" w14:textId="77777777" w:rsidR="007E3D73" w:rsidRPr="00F20438" w:rsidRDefault="007E3D73" w:rsidP="00CB3D8E">
            <w:pPr>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Estas acciones tienen como propósito asegurar que la gestión del riesgo no se limite a ser un ejercicio formal o documental, sino que se convierta en un proceso activo, con seguimiento real, evidencia verificable y articulado con los mecanismos de control y supervisión.</w:t>
            </w:r>
          </w:p>
          <w:p w14:paraId="0B330BDE" w14:textId="391A0F28" w:rsidR="007E3D73" w:rsidRPr="00F20438" w:rsidRDefault="00A52DC9" w:rsidP="006C3B9C">
            <w:pPr>
              <w:pStyle w:val="Prrafodelista"/>
              <w:numPr>
                <w:ilvl w:val="0"/>
                <w:numId w:val="16"/>
              </w:numPr>
              <w:spacing w:before="240" w:after="240"/>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 xml:space="preserve">COMPONENTE CIVIL  </w:t>
            </w:r>
          </w:p>
          <w:p w14:paraId="0A17E427" w14:textId="77777777" w:rsidR="00D210AE" w:rsidRDefault="00D210AE" w:rsidP="00D210AE">
            <w:pPr>
              <w:pStyle w:val="Prrafodelista"/>
              <w:spacing w:before="240" w:after="120"/>
              <w:ind w:left="1440"/>
              <w:jc w:val="both"/>
              <w:rPr>
                <w:rFonts w:asciiTheme="minorHAnsi" w:eastAsia="Arial Narrow" w:hAnsiTheme="minorHAnsi" w:cs="Arial"/>
                <w:b/>
                <w:bCs/>
                <w:color w:val="002465"/>
                <w:sz w:val="20"/>
                <w:szCs w:val="20"/>
              </w:rPr>
            </w:pPr>
          </w:p>
          <w:p w14:paraId="035A1DBB" w14:textId="64CB5EB8" w:rsidR="00EB4599" w:rsidRPr="006C3B9C" w:rsidRDefault="00A52DC9" w:rsidP="006C3B9C">
            <w:pPr>
              <w:pStyle w:val="Prrafodelista"/>
              <w:numPr>
                <w:ilvl w:val="1"/>
                <w:numId w:val="38"/>
              </w:numPr>
              <w:spacing w:before="240" w:after="120"/>
              <w:ind w:left="1027"/>
              <w:jc w:val="both"/>
              <w:rPr>
                <w:rFonts w:asciiTheme="minorHAnsi" w:eastAsia="Arial Narrow" w:hAnsiTheme="minorHAnsi" w:cs="Arial"/>
                <w:b/>
                <w:bCs/>
                <w:color w:val="002465"/>
                <w:sz w:val="20"/>
                <w:szCs w:val="20"/>
              </w:rPr>
            </w:pPr>
            <w:r w:rsidRPr="006C3B9C">
              <w:rPr>
                <w:rFonts w:asciiTheme="minorHAnsi" w:eastAsia="Arial Narrow" w:hAnsiTheme="minorHAnsi" w:cs="Arial"/>
                <w:b/>
                <w:bCs/>
                <w:color w:val="002465"/>
                <w:sz w:val="20"/>
                <w:szCs w:val="20"/>
              </w:rPr>
              <w:t>Actividades Realizadas</w:t>
            </w:r>
          </w:p>
          <w:p w14:paraId="73BF4835" w14:textId="0C421A49" w:rsidR="007F08FD" w:rsidRPr="007F08FD" w:rsidRDefault="007F08FD" w:rsidP="007F08FD">
            <w:p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Se llevó a cabo la revisión de aspectos fundamentales como la base para las estimaciones y el alcance de los proyectos, registros de participación ciudadana, y el registro de información en el sistema PSA. Asimismo, se evaluó la gestión del conocimiento mediante la revisión documental de lecciones aprendidas, así como el seguimiento y control implementados durante la ejecución de los proyectos.</w:t>
            </w:r>
          </w:p>
          <w:p w14:paraId="346CA180" w14:textId="38F6027F" w:rsidR="00A53D43" w:rsidRDefault="00A52DC9" w:rsidP="006C3B9C">
            <w:pPr>
              <w:pStyle w:val="Prrafodelista"/>
              <w:numPr>
                <w:ilvl w:val="1"/>
                <w:numId w:val="38"/>
              </w:numPr>
              <w:spacing w:before="240" w:after="120"/>
              <w:ind w:left="1027"/>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 xml:space="preserve">Situaciones Identificadas </w:t>
            </w:r>
          </w:p>
          <w:p w14:paraId="084778E8" w14:textId="77777777" w:rsidR="00D210AE" w:rsidRPr="00F20438" w:rsidRDefault="00D210AE" w:rsidP="00D210AE">
            <w:pPr>
              <w:pStyle w:val="Prrafodelista"/>
              <w:spacing w:before="240" w:after="120"/>
              <w:ind w:left="1440"/>
              <w:jc w:val="both"/>
              <w:rPr>
                <w:rFonts w:asciiTheme="minorHAnsi" w:eastAsia="Arial Narrow" w:hAnsiTheme="minorHAnsi" w:cs="Arial"/>
                <w:b/>
                <w:bCs/>
                <w:color w:val="002465"/>
                <w:sz w:val="20"/>
                <w:szCs w:val="20"/>
              </w:rPr>
            </w:pPr>
          </w:p>
          <w:p w14:paraId="1410301A" w14:textId="77777777" w:rsidR="007F08FD" w:rsidRPr="007F08FD" w:rsidRDefault="007F08FD" w:rsidP="00CB3D8E">
            <w:pPr>
              <w:pStyle w:val="Prrafodelista"/>
              <w:numPr>
                <w:ilvl w:val="0"/>
                <w:numId w:val="39"/>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En algunos proyectos ejecutados mediante convenios, se evidenció la ejecución secuencial (no paralela) de las obras y la falta de planes de contingencia adecuados para atender retrasos. Sin embargo, se constató que el control que ejerce la entidad sobre estos proyectos es limitado. Se recomienda analizar y fortalecer los clausulados de los convenios para prevenir estas situaciones.</w:t>
            </w:r>
          </w:p>
          <w:p w14:paraId="76D2F1D4" w14:textId="77777777" w:rsidR="00A52DC9" w:rsidRPr="00F20438" w:rsidRDefault="00A52DC9" w:rsidP="00CB3D8E">
            <w:pPr>
              <w:pStyle w:val="Prrafodelista"/>
              <w:jc w:val="both"/>
              <w:rPr>
                <w:rFonts w:asciiTheme="minorHAnsi" w:eastAsia="Arial Narrow" w:hAnsiTheme="minorHAnsi" w:cs="Arial"/>
                <w:color w:val="000000" w:themeColor="text1"/>
                <w:sz w:val="20"/>
                <w:szCs w:val="20"/>
              </w:rPr>
            </w:pPr>
          </w:p>
          <w:p w14:paraId="29D515B1" w14:textId="77777777" w:rsidR="007F08FD" w:rsidRPr="007F08FD" w:rsidRDefault="007F08FD" w:rsidP="00CB3D8E">
            <w:pPr>
              <w:pStyle w:val="Prrafodelista"/>
              <w:numPr>
                <w:ilvl w:val="0"/>
                <w:numId w:val="39"/>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lastRenderedPageBreak/>
              <w:t>Durante las auditorías, se observó que los sectores involucrados no tuvieron fácil acceso a los registros de los foros de auditoría visible ni a otros documentos relacionados con la estrategia de participación ciudadana. Se sugiere evaluar mejoras en las herramientas de gestión documental, como DATAFONDO y la plataforma de espacios para la participación ciudadana.</w:t>
            </w:r>
          </w:p>
          <w:p w14:paraId="320B3D9A" w14:textId="77777777" w:rsidR="00A52DC9" w:rsidRPr="00F20438" w:rsidRDefault="00A52DC9" w:rsidP="00CB3D8E">
            <w:pPr>
              <w:pStyle w:val="Prrafodelista"/>
              <w:jc w:val="both"/>
              <w:rPr>
                <w:rFonts w:asciiTheme="minorHAnsi" w:eastAsia="Arial Narrow" w:hAnsiTheme="minorHAnsi" w:cs="Arial"/>
                <w:color w:val="000000" w:themeColor="text1"/>
                <w:sz w:val="20"/>
                <w:szCs w:val="20"/>
              </w:rPr>
            </w:pPr>
          </w:p>
          <w:p w14:paraId="7446FBE2" w14:textId="4ACFB97B" w:rsidR="00A52DC9" w:rsidRPr="00D210AE" w:rsidRDefault="00A52DC9" w:rsidP="00CB3D8E">
            <w:pPr>
              <w:pStyle w:val="Prrafodelista"/>
              <w:numPr>
                <w:ilvl w:val="0"/>
                <w:numId w:val="39"/>
              </w:numPr>
              <w:jc w:val="both"/>
              <w:rPr>
                <w:rFonts w:asciiTheme="minorHAnsi" w:eastAsia="Arial Narrow" w:hAnsiTheme="minorHAnsi" w:cs="Arial"/>
                <w:color w:val="000000" w:themeColor="text1"/>
                <w:sz w:val="20"/>
                <w:szCs w:val="20"/>
              </w:rPr>
            </w:pPr>
            <w:r w:rsidRPr="00D210AE">
              <w:rPr>
                <w:rFonts w:asciiTheme="minorHAnsi" w:eastAsia="Arial Narrow" w:hAnsiTheme="minorHAnsi" w:cs="Arial"/>
                <w:color w:val="000000" w:themeColor="text1"/>
                <w:sz w:val="20"/>
                <w:szCs w:val="20"/>
              </w:rPr>
              <w:t xml:space="preserve">En proyectos </w:t>
            </w:r>
            <w:r w:rsidR="00A76B7D" w:rsidRPr="00D210AE">
              <w:rPr>
                <w:rFonts w:asciiTheme="minorHAnsi" w:eastAsia="Arial Narrow" w:hAnsiTheme="minorHAnsi" w:cs="Arial"/>
                <w:color w:val="000000" w:themeColor="text1"/>
                <w:sz w:val="20"/>
                <w:szCs w:val="20"/>
              </w:rPr>
              <w:t>siniestrados</w:t>
            </w:r>
            <w:r w:rsidRPr="00D210AE">
              <w:rPr>
                <w:rFonts w:asciiTheme="minorHAnsi" w:eastAsia="Arial Narrow" w:hAnsiTheme="minorHAnsi" w:cs="Arial"/>
                <w:color w:val="000000" w:themeColor="text1"/>
                <w:sz w:val="20"/>
                <w:szCs w:val="20"/>
              </w:rPr>
              <w:t xml:space="preserve"> (con presunto incumplimiento de los contratistas)</w:t>
            </w:r>
            <w:r w:rsidR="007F08FD">
              <w:rPr>
                <w:rFonts w:asciiTheme="minorHAnsi" w:eastAsia="Arial Narrow" w:hAnsiTheme="minorHAnsi" w:cs="Arial"/>
                <w:color w:val="000000" w:themeColor="text1"/>
                <w:sz w:val="20"/>
                <w:szCs w:val="20"/>
              </w:rPr>
              <w:t>,</w:t>
            </w:r>
            <w:r w:rsidRPr="00D210AE">
              <w:rPr>
                <w:rFonts w:asciiTheme="minorHAnsi" w:eastAsia="Arial Narrow" w:hAnsiTheme="minorHAnsi" w:cs="Arial"/>
                <w:color w:val="000000" w:themeColor="text1"/>
                <w:sz w:val="20"/>
                <w:szCs w:val="20"/>
              </w:rPr>
              <w:t xml:space="preserve"> no se evidencia continuidad en la realización de eventos de participación ciudadana después de mucho tiempo, por lo cual se sugiere analizar que lineamientos se pueden establecer </w:t>
            </w:r>
            <w:r w:rsidR="00CF1A29" w:rsidRPr="00D210AE">
              <w:rPr>
                <w:rFonts w:asciiTheme="minorHAnsi" w:eastAsia="Arial Narrow" w:hAnsiTheme="minorHAnsi" w:cs="Arial"/>
                <w:color w:val="000000" w:themeColor="text1"/>
                <w:sz w:val="20"/>
                <w:szCs w:val="20"/>
              </w:rPr>
              <w:t>y</w:t>
            </w:r>
            <w:r w:rsidRPr="00D210AE">
              <w:rPr>
                <w:rFonts w:asciiTheme="minorHAnsi" w:eastAsia="Arial Narrow" w:hAnsiTheme="minorHAnsi" w:cs="Arial"/>
                <w:color w:val="000000" w:themeColor="text1"/>
                <w:sz w:val="20"/>
                <w:szCs w:val="20"/>
              </w:rPr>
              <w:t>/</w:t>
            </w:r>
            <w:r w:rsidR="00CF1A29" w:rsidRPr="00D210AE">
              <w:rPr>
                <w:rFonts w:asciiTheme="minorHAnsi" w:eastAsia="Arial Narrow" w:hAnsiTheme="minorHAnsi" w:cs="Arial"/>
                <w:color w:val="000000" w:themeColor="text1"/>
                <w:sz w:val="20"/>
                <w:szCs w:val="20"/>
              </w:rPr>
              <w:t xml:space="preserve">o </w:t>
            </w:r>
            <w:r w:rsidRPr="00D210AE">
              <w:rPr>
                <w:rFonts w:asciiTheme="minorHAnsi" w:eastAsia="Arial Narrow" w:hAnsiTheme="minorHAnsi" w:cs="Arial"/>
                <w:color w:val="000000" w:themeColor="text1"/>
                <w:sz w:val="20"/>
                <w:szCs w:val="20"/>
              </w:rPr>
              <w:t xml:space="preserve">aplicar para este tipo de situaciones. </w:t>
            </w:r>
          </w:p>
          <w:p w14:paraId="72DECF9E" w14:textId="77777777" w:rsidR="00A76B7D" w:rsidRPr="00F20438" w:rsidRDefault="00A76B7D" w:rsidP="00CB3D8E">
            <w:pPr>
              <w:pStyle w:val="Prrafodelista"/>
              <w:jc w:val="both"/>
              <w:rPr>
                <w:rFonts w:asciiTheme="minorHAnsi" w:eastAsia="Arial Narrow" w:hAnsiTheme="minorHAnsi" w:cs="Arial"/>
                <w:color w:val="000000" w:themeColor="text1"/>
                <w:sz w:val="20"/>
                <w:szCs w:val="20"/>
              </w:rPr>
            </w:pPr>
          </w:p>
          <w:p w14:paraId="7C2C4A1F" w14:textId="77777777" w:rsidR="007F08FD" w:rsidRPr="007F08FD" w:rsidRDefault="007F08FD" w:rsidP="00CB3D8E">
            <w:pPr>
              <w:pStyle w:val="Prrafodelista"/>
              <w:numPr>
                <w:ilvl w:val="0"/>
                <w:numId w:val="39"/>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En algunos proyectos siniestrados, el acceso a documentación clave como informes de interventoría, soportes de calidad y diseños aprobados ha sido limitado. Es necesario revisar y fortalecer los mecanismos para exigir y garantizar la entrega progresiva y oportuna de esta información a lo largo del ciclo de vida de los proyectos.</w:t>
            </w:r>
          </w:p>
          <w:p w14:paraId="3A1AFA18" w14:textId="77777777" w:rsidR="00CF1A29" w:rsidRPr="00F20438" w:rsidRDefault="00CF1A29" w:rsidP="00CB3D8E">
            <w:pPr>
              <w:pStyle w:val="Prrafodelista"/>
              <w:ind w:left="460" w:hanging="284"/>
              <w:jc w:val="both"/>
              <w:rPr>
                <w:rFonts w:asciiTheme="minorHAnsi" w:eastAsia="Arial Narrow" w:hAnsiTheme="minorHAnsi" w:cs="Arial"/>
                <w:color w:val="000000" w:themeColor="text1"/>
                <w:sz w:val="20"/>
                <w:szCs w:val="20"/>
              </w:rPr>
            </w:pPr>
          </w:p>
          <w:p w14:paraId="65B05704" w14:textId="4EFDA7A3" w:rsidR="00A52DC9" w:rsidRPr="00D210AE" w:rsidRDefault="00A52DC9" w:rsidP="00CB3D8E">
            <w:pPr>
              <w:pStyle w:val="Prrafodelista"/>
              <w:numPr>
                <w:ilvl w:val="0"/>
                <w:numId w:val="39"/>
              </w:numPr>
              <w:jc w:val="both"/>
              <w:rPr>
                <w:rFonts w:asciiTheme="minorHAnsi" w:eastAsia="Arial Narrow" w:hAnsiTheme="minorHAnsi" w:cs="Arial"/>
                <w:color w:val="000000" w:themeColor="text1"/>
                <w:sz w:val="20"/>
                <w:szCs w:val="20"/>
              </w:rPr>
            </w:pPr>
            <w:r w:rsidRPr="00D210AE">
              <w:rPr>
                <w:rFonts w:asciiTheme="minorHAnsi" w:eastAsia="Arial Narrow" w:hAnsiTheme="minorHAnsi" w:cs="Arial"/>
                <w:color w:val="000000" w:themeColor="text1"/>
                <w:sz w:val="20"/>
                <w:szCs w:val="20"/>
              </w:rPr>
              <w:t xml:space="preserve">Al presentarse cambios de contratista derivados de presuntos incumplimientos, no se tiene certeza sobre el estado en que queda la </w:t>
            </w:r>
            <w:r w:rsidR="00E10016" w:rsidRPr="00D210AE">
              <w:rPr>
                <w:rFonts w:asciiTheme="minorHAnsi" w:eastAsia="Arial Narrow" w:hAnsiTheme="minorHAnsi" w:cs="Arial"/>
                <w:color w:val="000000" w:themeColor="text1"/>
                <w:sz w:val="20"/>
                <w:szCs w:val="20"/>
              </w:rPr>
              <w:t>infraestructura</w:t>
            </w:r>
            <w:r w:rsidRPr="00D210AE">
              <w:rPr>
                <w:rFonts w:asciiTheme="minorHAnsi" w:eastAsia="Arial Narrow" w:hAnsiTheme="minorHAnsi" w:cs="Arial"/>
                <w:color w:val="000000" w:themeColor="text1"/>
                <w:sz w:val="20"/>
                <w:szCs w:val="20"/>
              </w:rPr>
              <w:t xml:space="preserve"> adelantada, lo cual genera la necesidad de estudios complementarios y mayor dilación de los proyectos en el tiempo. Se sugiere evaluar qu</w:t>
            </w:r>
            <w:r w:rsidR="00CF1A29" w:rsidRPr="00D210AE">
              <w:rPr>
                <w:rFonts w:asciiTheme="minorHAnsi" w:eastAsia="Arial Narrow" w:hAnsiTheme="minorHAnsi" w:cs="Arial"/>
                <w:color w:val="000000" w:themeColor="text1"/>
                <w:sz w:val="20"/>
                <w:szCs w:val="20"/>
              </w:rPr>
              <w:t>é</w:t>
            </w:r>
            <w:r w:rsidRPr="00D210AE">
              <w:rPr>
                <w:rFonts w:asciiTheme="minorHAnsi" w:eastAsia="Arial Narrow" w:hAnsiTheme="minorHAnsi" w:cs="Arial"/>
                <w:color w:val="000000" w:themeColor="text1"/>
                <w:sz w:val="20"/>
                <w:szCs w:val="20"/>
              </w:rPr>
              <w:t xml:space="preserve"> lineamientos se pueden dar para este tipo de situaciones. </w:t>
            </w:r>
          </w:p>
          <w:p w14:paraId="1FD3CA5B" w14:textId="77777777" w:rsidR="00A76B7D" w:rsidRPr="00F20438" w:rsidRDefault="00A76B7D" w:rsidP="00CB3D8E">
            <w:pPr>
              <w:pStyle w:val="Prrafodelista"/>
              <w:jc w:val="both"/>
              <w:rPr>
                <w:rFonts w:asciiTheme="minorHAnsi" w:eastAsia="Arial Narrow" w:hAnsiTheme="minorHAnsi" w:cs="Arial"/>
                <w:color w:val="000000" w:themeColor="text1"/>
                <w:sz w:val="20"/>
                <w:szCs w:val="20"/>
              </w:rPr>
            </w:pPr>
          </w:p>
          <w:p w14:paraId="2DD6284D" w14:textId="77777777" w:rsidR="007F08FD" w:rsidRPr="007F08FD" w:rsidRDefault="007F08FD" w:rsidP="00CB3D8E">
            <w:pPr>
              <w:pStyle w:val="Prrafodelista"/>
              <w:numPr>
                <w:ilvl w:val="0"/>
                <w:numId w:val="39"/>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Se identificó un deterioro acelerado de la infraestructura entregada debido a una operación y mantenimiento inadecuados por parte de los usuarios. Es pertinente reforzar los lineamientos relacionados con la entrega y la aplicación de manuales de usuario.</w:t>
            </w:r>
          </w:p>
          <w:p w14:paraId="3404648A" w14:textId="77777777" w:rsidR="00A76B7D" w:rsidRPr="00F20438" w:rsidRDefault="00A76B7D" w:rsidP="00CB3D8E">
            <w:pPr>
              <w:pStyle w:val="Prrafodelista"/>
              <w:jc w:val="both"/>
              <w:rPr>
                <w:rFonts w:asciiTheme="minorHAnsi" w:eastAsia="Arial Narrow" w:hAnsiTheme="minorHAnsi" w:cs="Arial"/>
                <w:color w:val="000000" w:themeColor="text1"/>
                <w:sz w:val="20"/>
                <w:szCs w:val="20"/>
              </w:rPr>
            </w:pPr>
          </w:p>
          <w:p w14:paraId="2268E02B" w14:textId="77777777" w:rsidR="007F08FD" w:rsidRPr="007F08FD" w:rsidRDefault="007F08FD" w:rsidP="00CB3D8E">
            <w:pPr>
              <w:pStyle w:val="Prrafodelista"/>
              <w:numPr>
                <w:ilvl w:val="0"/>
                <w:numId w:val="39"/>
              </w:numPr>
              <w:jc w:val="both"/>
              <w:rPr>
                <w:rFonts w:asciiTheme="minorHAnsi" w:eastAsia="Arial Narrow" w:hAnsiTheme="minorHAnsi" w:cs="Arial"/>
                <w:color w:val="000000" w:themeColor="text1"/>
                <w:sz w:val="20"/>
                <w:szCs w:val="20"/>
              </w:rPr>
            </w:pPr>
            <w:r w:rsidRPr="007F08FD">
              <w:rPr>
                <w:rFonts w:asciiTheme="minorHAnsi" w:eastAsia="Arial Narrow" w:hAnsiTheme="minorHAnsi" w:cs="Arial"/>
                <w:color w:val="000000" w:themeColor="text1"/>
                <w:sz w:val="20"/>
                <w:szCs w:val="20"/>
              </w:rPr>
              <w:t>En algunos proyectos de compraventa de vivienda, no fue posible acceder a información sobre el estado de trámites previos al alistamiento, tales como obtención de licencias y permisos, escrituración y construcción de obras complementarias. En ciertos casos, los cronogramas presentados carecen de detalle suficiente, lo que retrasa la toma de decisiones. Se recomienda implementar acciones que mejoren el seguimiento de estas etapas previas, con mayor detalle en la consecución de permisos y ejecución de obras complementarias.</w:t>
            </w:r>
          </w:p>
          <w:p w14:paraId="31C4B107" w14:textId="77777777" w:rsidR="00A76B7D" w:rsidRPr="00F20438" w:rsidRDefault="00A76B7D" w:rsidP="00CB3D8E">
            <w:pPr>
              <w:pStyle w:val="Prrafodelista"/>
              <w:jc w:val="both"/>
              <w:rPr>
                <w:rFonts w:asciiTheme="minorHAnsi" w:eastAsia="Arial Narrow" w:hAnsiTheme="minorHAnsi" w:cs="Arial"/>
                <w:color w:val="000000" w:themeColor="text1"/>
                <w:sz w:val="20"/>
                <w:szCs w:val="20"/>
              </w:rPr>
            </w:pPr>
          </w:p>
          <w:p w14:paraId="396A25E1" w14:textId="77777777" w:rsidR="00A52DC9" w:rsidRPr="00D210AE" w:rsidRDefault="00A52DC9" w:rsidP="00CB3D8E">
            <w:pPr>
              <w:pStyle w:val="Prrafodelista"/>
              <w:numPr>
                <w:ilvl w:val="0"/>
                <w:numId w:val="39"/>
              </w:numPr>
              <w:jc w:val="both"/>
              <w:rPr>
                <w:rFonts w:asciiTheme="minorHAnsi" w:eastAsia="Arial Narrow" w:hAnsiTheme="minorHAnsi" w:cs="Arial"/>
                <w:color w:val="000000" w:themeColor="text1"/>
                <w:sz w:val="20"/>
                <w:szCs w:val="20"/>
              </w:rPr>
            </w:pPr>
            <w:r w:rsidRPr="00D210AE">
              <w:rPr>
                <w:rFonts w:asciiTheme="minorHAnsi" w:eastAsia="Arial Narrow" w:hAnsiTheme="minorHAnsi" w:cs="Arial"/>
                <w:color w:val="000000" w:themeColor="text1"/>
                <w:sz w:val="20"/>
                <w:szCs w:val="20"/>
              </w:rPr>
              <w:t>En el caso de proyectos identificados con un mismo código base seguidos de distinta extensión, no se evidencia documentación que precise cuál es el alcance para cada uno de estos “hermanos”. Considerar ampliar el uso de herramientas como plataforma PSA (para registrar el alcance, o cuando lo amerite, redacción de una “declaración de alcance”.</w:t>
            </w:r>
          </w:p>
          <w:p w14:paraId="0D95A20D" w14:textId="77777777" w:rsidR="00A76B7D" w:rsidRPr="00F20438" w:rsidRDefault="00A76B7D" w:rsidP="00CB3D8E">
            <w:pPr>
              <w:pStyle w:val="Prrafodelista"/>
              <w:jc w:val="both"/>
              <w:rPr>
                <w:rFonts w:asciiTheme="minorHAnsi" w:eastAsia="Arial Narrow" w:hAnsiTheme="minorHAnsi" w:cs="Arial"/>
                <w:color w:val="000000" w:themeColor="text1"/>
                <w:sz w:val="20"/>
                <w:szCs w:val="20"/>
              </w:rPr>
            </w:pPr>
          </w:p>
          <w:p w14:paraId="383BF1CB" w14:textId="43CE4773" w:rsidR="00A52DC9" w:rsidRPr="00D210AE" w:rsidRDefault="00A52DC9" w:rsidP="00CB3D8E">
            <w:pPr>
              <w:pStyle w:val="Prrafodelista"/>
              <w:numPr>
                <w:ilvl w:val="0"/>
                <w:numId w:val="39"/>
              </w:numPr>
              <w:jc w:val="both"/>
              <w:rPr>
                <w:rFonts w:asciiTheme="minorHAnsi" w:eastAsia="Arial Narrow" w:hAnsiTheme="minorHAnsi" w:cs="Arial"/>
                <w:color w:val="000000" w:themeColor="text1"/>
                <w:sz w:val="20"/>
                <w:szCs w:val="20"/>
              </w:rPr>
            </w:pPr>
            <w:r w:rsidRPr="00D210AE">
              <w:rPr>
                <w:rFonts w:asciiTheme="minorHAnsi" w:eastAsia="Arial Narrow" w:hAnsiTheme="minorHAnsi" w:cs="Arial"/>
                <w:color w:val="000000" w:themeColor="text1"/>
                <w:sz w:val="20"/>
                <w:szCs w:val="20"/>
              </w:rPr>
              <w:t xml:space="preserve">En varios casos se evidencia que no se está </w:t>
            </w:r>
            <w:r w:rsidR="00A76B7D" w:rsidRPr="00D210AE">
              <w:rPr>
                <w:rFonts w:asciiTheme="minorHAnsi" w:eastAsia="Arial Narrow" w:hAnsiTheme="minorHAnsi" w:cs="Arial"/>
                <w:color w:val="000000" w:themeColor="text1"/>
                <w:sz w:val="20"/>
                <w:szCs w:val="20"/>
              </w:rPr>
              <w:t>aplicando</w:t>
            </w:r>
            <w:r w:rsidRPr="00D210AE">
              <w:rPr>
                <w:rFonts w:asciiTheme="minorHAnsi" w:eastAsia="Arial Narrow" w:hAnsiTheme="minorHAnsi" w:cs="Arial"/>
                <w:color w:val="000000" w:themeColor="text1"/>
                <w:sz w:val="20"/>
                <w:szCs w:val="20"/>
              </w:rPr>
              <w:t xml:space="preserve"> la directriz incluida en el Numeral 3.12 Manual de uso al Sistema de Gestión de Proyectos PSA 4-GPY-M-03. - V 8.1  de agosto 2021, relacionada con que los foros de auditoría visible deben registrarse como hitos (con duración cero). Evaluar la pertinencia de esta directriz </w:t>
            </w:r>
            <w:r w:rsidR="00A76B7D" w:rsidRPr="00D210AE">
              <w:rPr>
                <w:rFonts w:asciiTheme="minorHAnsi" w:eastAsia="Arial Narrow" w:hAnsiTheme="minorHAnsi" w:cs="Arial"/>
                <w:color w:val="000000" w:themeColor="text1"/>
                <w:sz w:val="20"/>
                <w:szCs w:val="20"/>
              </w:rPr>
              <w:t>existente</w:t>
            </w:r>
            <w:r w:rsidRPr="00D210AE">
              <w:rPr>
                <w:rFonts w:asciiTheme="minorHAnsi" w:eastAsia="Arial Narrow" w:hAnsiTheme="minorHAnsi" w:cs="Arial"/>
                <w:color w:val="000000" w:themeColor="text1"/>
                <w:sz w:val="20"/>
                <w:szCs w:val="20"/>
              </w:rPr>
              <w:t>.</w:t>
            </w:r>
          </w:p>
          <w:p w14:paraId="3630A18E" w14:textId="77777777" w:rsidR="00A76B7D" w:rsidRPr="00F20438" w:rsidRDefault="00A76B7D" w:rsidP="00CB3D8E">
            <w:pPr>
              <w:pStyle w:val="Prrafodelista"/>
              <w:jc w:val="both"/>
              <w:rPr>
                <w:rFonts w:asciiTheme="minorHAnsi" w:eastAsia="Arial Narrow" w:hAnsiTheme="minorHAnsi" w:cs="Arial"/>
                <w:color w:val="000000" w:themeColor="text1"/>
                <w:sz w:val="20"/>
                <w:szCs w:val="20"/>
              </w:rPr>
            </w:pPr>
          </w:p>
          <w:p w14:paraId="6EB7D667" w14:textId="7414F858" w:rsidR="00A52DC9" w:rsidRPr="00D210AE" w:rsidRDefault="00A52DC9" w:rsidP="00CB3D8E">
            <w:pPr>
              <w:pStyle w:val="Prrafodelista"/>
              <w:numPr>
                <w:ilvl w:val="0"/>
                <w:numId w:val="39"/>
              </w:numPr>
              <w:jc w:val="both"/>
              <w:rPr>
                <w:rFonts w:asciiTheme="minorHAnsi" w:eastAsia="Arial Narrow" w:hAnsiTheme="minorHAnsi" w:cs="Arial"/>
                <w:color w:val="000000" w:themeColor="text1"/>
                <w:sz w:val="20"/>
                <w:szCs w:val="20"/>
              </w:rPr>
            </w:pPr>
            <w:r w:rsidRPr="00D210AE">
              <w:rPr>
                <w:rFonts w:asciiTheme="minorHAnsi" w:eastAsia="Arial Narrow" w:hAnsiTheme="minorHAnsi" w:cs="Arial"/>
                <w:color w:val="000000" w:themeColor="text1"/>
                <w:sz w:val="20"/>
                <w:szCs w:val="20"/>
              </w:rPr>
              <w:t xml:space="preserve">En algunos casos de proyectos con proceso de presunto incumplimiento para los que se ha logrado acuerdos conciliatorios para la entrega extemporánea de infraestructura, se llama la atención sobre la posible incertidumbre con respecto a la calidad de dicha </w:t>
            </w:r>
            <w:r w:rsidR="00E10016" w:rsidRPr="00D210AE">
              <w:rPr>
                <w:rFonts w:asciiTheme="minorHAnsi" w:eastAsia="Arial Narrow" w:hAnsiTheme="minorHAnsi" w:cs="Arial"/>
                <w:color w:val="000000" w:themeColor="text1"/>
                <w:sz w:val="20"/>
                <w:szCs w:val="20"/>
              </w:rPr>
              <w:t>infraestructura</w:t>
            </w:r>
            <w:r w:rsidRPr="00D210AE">
              <w:rPr>
                <w:rFonts w:asciiTheme="minorHAnsi" w:eastAsia="Arial Narrow" w:hAnsiTheme="minorHAnsi" w:cs="Arial"/>
                <w:color w:val="000000" w:themeColor="text1"/>
                <w:sz w:val="20"/>
                <w:szCs w:val="20"/>
              </w:rPr>
              <w:t xml:space="preserve"> al ser ejecutada sin los controles de interventoría. Revisar la conveniencia de establecer y aplicar medidas adicionales a la actual exigencia de póliza de estabilidad.</w:t>
            </w:r>
          </w:p>
          <w:p w14:paraId="54C5C533" w14:textId="77777777" w:rsidR="00A76B7D" w:rsidRPr="00F20438" w:rsidRDefault="00A76B7D" w:rsidP="00CB3D8E">
            <w:pPr>
              <w:pStyle w:val="Prrafodelista"/>
              <w:jc w:val="both"/>
              <w:rPr>
                <w:rFonts w:asciiTheme="minorHAnsi" w:eastAsia="Arial Narrow" w:hAnsiTheme="minorHAnsi" w:cs="Arial"/>
                <w:color w:val="000000" w:themeColor="text1"/>
                <w:sz w:val="20"/>
                <w:szCs w:val="20"/>
              </w:rPr>
            </w:pPr>
          </w:p>
          <w:p w14:paraId="1DA92F92" w14:textId="77777777" w:rsidR="00A52DC9" w:rsidRPr="00D210AE" w:rsidRDefault="00A52DC9" w:rsidP="00CB3D8E">
            <w:pPr>
              <w:pStyle w:val="Prrafodelista"/>
              <w:numPr>
                <w:ilvl w:val="0"/>
                <w:numId w:val="39"/>
              </w:numPr>
              <w:jc w:val="both"/>
              <w:rPr>
                <w:rFonts w:asciiTheme="minorHAnsi" w:eastAsia="Arial Narrow" w:hAnsiTheme="minorHAnsi" w:cs="Arial"/>
                <w:color w:val="000000" w:themeColor="text1"/>
                <w:sz w:val="20"/>
                <w:szCs w:val="20"/>
              </w:rPr>
            </w:pPr>
            <w:r w:rsidRPr="00D210AE">
              <w:rPr>
                <w:rFonts w:asciiTheme="minorHAnsi" w:eastAsia="Arial Narrow" w:hAnsiTheme="minorHAnsi" w:cs="Arial"/>
                <w:color w:val="000000" w:themeColor="text1"/>
                <w:sz w:val="20"/>
                <w:szCs w:val="20"/>
              </w:rPr>
              <w:lastRenderedPageBreak/>
              <w:t>Proyectos del sector Salud que al dilatarse sufren desactualización de estudios y diseños por externalidades; para lo cual el sector informa que se está revisando aplicabilidad de esquema llave en mano. Se recomienda Continuar revisando la aplicabilidad de distintos esquemas (pro y contras), según las condiciones de cada proyecto.</w:t>
            </w:r>
          </w:p>
          <w:p w14:paraId="7F366426" w14:textId="77777777" w:rsidR="00EB4599" w:rsidRPr="00F20438" w:rsidRDefault="00EB4599" w:rsidP="00AA5CFE">
            <w:pPr>
              <w:pStyle w:val="Prrafodelista"/>
              <w:rPr>
                <w:rFonts w:asciiTheme="minorHAnsi" w:eastAsia="Arial Narrow" w:hAnsiTheme="minorHAnsi" w:cs="Arial"/>
                <w:color w:val="000000" w:themeColor="text1"/>
                <w:sz w:val="20"/>
                <w:szCs w:val="20"/>
              </w:rPr>
            </w:pPr>
          </w:p>
          <w:p w14:paraId="14057610" w14:textId="3F643E40" w:rsidR="00AA5CFE" w:rsidRDefault="00AA5CFE" w:rsidP="006C3B9C">
            <w:pPr>
              <w:pStyle w:val="Prrafodelista"/>
              <w:numPr>
                <w:ilvl w:val="1"/>
                <w:numId w:val="38"/>
              </w:numPr>
              <w:spacing w:before="240" w:after="120"/>
              <w:ind w:left="1027"/>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 xml:space="preserve">Identificación de Causa </w:t>
            </w:r>
          </w:p>
          <w:p w14:paraId="63DA36A8" w14:textId="390EB932" w:rsidR="005B0648" w:rsidRPr="005B0648" w:rsidRDefault="005B0648" w:rsidP="005B0648">
            <w:pPr>
              <w:spacing w:before="240" w:after="120"/>
              <w:jc w:val="both"/>
              <w:rPr>
                <w:rFonts w:asciiTheme="minorHAnsi" w:eastAsia="Arial Narrow" w:hAnsiTheme="minorHAnsi" w:cs="Arial"/>
                <w:color w:val="000000" w:themeColor="text1"/>
                <w:sz w:val="20"/>
                <w:szCs w:val="20"/>
              </w:rPr>
            </w:pPr>
            <w:r w:rsidRPr="005B0648">
              <w:rPr>
                <w:rFonts w:asciiTheme="minorHAnsi" w:eastAsia="Arial Narrow" w:hAnsiTheme="minorHAnsi" w:cs="Arial"/>
                <w:color w:val="000000" w:themeColor="text1"/>
                <w:sz w:val="20"/>
                <w:szCs w:val="20"/>
              </w:rPr>
              <w:t>A continuación se presenta un análisis de causa raíz a las principales situaciones evidenciadas en el componentes civil:</w:t>
            </w:r>
          </w:p>
          <w:tbl>
            <w:tblPr>
              <w:tblW w:w="8800" w:type="dxa"/>
              <w:jc w:val="center"/>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CellMar>
                <w:left w:w="70" w:type="dxa"/>
                <w:right w:w="70" w:type="dxa"/>
              </w:tblCellMar>
              <w:tblLook w:val="04A0" w:firstRow="1" w:lastRow="0" w:firstColumn="1" w:lastColumn="0" w:noHBand="0" w:noVBand="1"/>
            </w:tblPr>
            <w:tblGrid>
              <w:gridCol w:w="591"/>
              <w:gridCol w:w="2539"/>
              <w:gridCol w:w="5670"/>
            </w:tblGrid>
            <w:tr w:rsidR="00D210AE" w:rsidRPr="00D210AE" w14:paraId="2484371F" w14:textId="77777777" w:rsidTr="00CB3D8E">
              <w:trPr>
                <w:trHeight w:val="315"/>
                <w:tblHeader/>
                <w:jc w:val="center"/>
              </w:trPr>
              <w:tc>
                <w:tcPr>
                  <w:tcW w:w="591" w:type="dxa"/>
                  <w:shd w:val="clear" w:color="auto" w:fill="153D63" w:themeFill="text2" w:themeFillTint="E6"/>
                  <w:noWrap/>
                  <w:vAlign w:val="center"/>
                </w:tcPr>
                <w:p w14:paraId="32D06CE9" w14:textId="2852F268" w:rsidR="00D210AE" w:rsidRPr="00D210AE" w:rsidRDefault="003228B4" w:rsidP="00D210AE">
                  <w:pPr>
                    <w:jc w:val="center"/>
                    <w:rPr>
                      <w:rFonts w:asciiTheme="minorHAnsi" w:hAnsiTheme="minorHAnsi" w:cs="Calibri"/>
                      <w:b/>
                      <w:bCs/>
                      <w:color w:val="FFFFFF"/>
                      <w:sz w:val="18"/>
                      <w:szCs w:val="18"/>
                      <w:lang w:eastAsia="es-CO"/>
                    </w:rPr>
                  </w:pPr>
                  <w:r>
                    <w:rPr>
                      <w:rFonts w:asciiTheme="minorHAnsi" w:hAnsiTheme="minorHAnsi" w:cs="Calibri"/>
                      <w:b/>
                      <w:bCs/>
                      <w:color w:val="FFFFFF"/>
                      <w:sz w:val="18"/>
                      <w:szCs w:val="18"/>
                      <w:lang w:eastAsia="es-CO"/>
                    </w:rPr>
                    <w:t>No.</w:t>
                  </w:r>
                </w:p>
              </w:tc>
              <w:tc>
                <w:tcPr>
                  <w:tcW w:w="2539" w:type="dxa"/>
                  <w:shd w:val="clear" w:color="auto" w:fill="153D63" w:themeFill="text2" w:themeFillTint="E6"/>
                  <w:vAlign w:val="center"/>
                </w:tcPr>
                <w:p w14:paraId="5D7CA965" w14:textId="5B2200A4" w:rsidR="00D210AE" w:rsidRPr="00D210AE" w:rsidRDefault="00D210AE" w:rsidP="00D210AE">
                  <w:pPr>
                    <w:jc w:val="center"/>
                    <w:rPr>
                      <w:rFonts w:asciiTheme="minorHAnsi" w:hAnsiTheme="minorHAnsi" w:cs="Calibri"/>
                      <w:b/>
                      <w:bCs/>
                      <w:color w:val="FFFFFF"/>
                      <w:sz w:val="18"/>
                      <w:szCs w:val="18"/>
                      <w:lang w:eastAsia="es-CO"/>
                    </w:rPr>
                  </w:pPr>
                  <w:r w:rsidRPr="00D210AE">
                    <w:rPr>
                      <w:rFonts w:asciiTheme="minorHAnsi" w:hAnsiTheme="minorHAnsi" w:cs="Calibri"/>
                      <w:b/>
                      <w:bCs/>
                      <w:color w:val="FFFFFF"/>
                      <w:sz w:val="18"/>
                      <w:szCs w:val="18"/>
                    </w:rPr>
                    <w:t>Situación evidenciada</w:t>
                  </w:r>
                </w:p>
              </w:tc>
              <w:tc>
                <w:tcPr>
                  <w:tcW w:w="5670" w:type="dxa"/>
                  <w:shd w:val="clear" w:color="auto" w:fill="153D63" w:themeFill="text2" w:themeFillTint="E6"/>
                  <w:noWrap/>
                  <w:vAlign w:val="center"/>
                  <w:hideMark/>
                </w:tcPr>
                <w:p w14:paraId="127B6FFF" w14:textId="77777777" w:rsidR="00D210AE" w:rsidRPr="00D210AE" w:rsidRDefault="00D210AE" w:rsidP="00D210AE">
                  <w:pPr>
                    <w:jc w:val="center"/>
                    <w:rPr>
                      <w:rFonts w:asciiTheme="minorHAnsi" w:hAnsiTheme="minorHAnsi" w:cs="Calibri"/>
                      <w:b/>
                      <w:bCs/>
                      <w:color w:val="FFFFFF"/>
                      <w:sz w:val="18"/>
                      <w:szCs w:val="18"/>
                    </w:rPr>
                  </w:pPr>
                  <w:r w:rsidRPr="00D210AE">
                    <w:rPr>
                      <w:rFonts w:asciiTheme="minorHAnsi" w:hAnsiTheme="minorHAnsi" w:cs="Calibri"/>
                      <w:b/>
                      <w:bCs/>
                      <w:color w:val="FFFFFF"/>
                      <w:sz w:val="18"/>
                      <w:szCs w:val="18"/>
                    </w:rPr>
                    <w:t>Posibles causas</w:t>
                  </w:r>
                </w:p>
              </w:tc>
            </w:tr>
            <w:tr w:rsidR="00D210AE" w:rsidRPr="00D210AE" w14:paraId="7CC070B9" w14:textId="77777777" w:rsidTr="00CB3D8E">
              <w:trPr>
                <w:trHeight w:val="675"/>
                <w:jc w:val="center"/>
              </w:trPr>
              <w:tc>
                <w:tcPr>
                  <w:tcW w:w="591" w:type="dxa"/>
                  <w:vAlign w:val="center"/>
                  <w:hideMark/>
                </w:tcPr>
                <w:p w14:paraId="7F435D8D" w14:textId="77777777" w:rsidR="00D210AE" w:rsidRPr="00D210AE" w:rsidRDefault="00D210AE" w:rsidP="00CB3D8E">
                  <w:pPr>
                    <w:jc w:val="center"/>
                    <w:rPr>
                      <w:rFonts w:asciiTheme="minorHAnsi" w:hAnsiTheme="minorHAnsi" w:cs="Arial"/>
                      <w:sz w:val="18"/>
                      <w:szCs w:val="18"/>
                    </w:rPr>
                  </w:pPr>
                  <w:r w:rsidRPr="00D210AE">
                    <w:rPr>
                      <w:rFonts w:asciiTheme="minorHAnsi" w:hAnsiTheme="minorHAnsi" w:cs="Arial"/>
                      <w:sz w:val="18"/>
                      <w:szCs w:val="18"/>
                    </w:rPr>
                    <w:t>1</w:t>
                  </w:r>
                </w:p>
              </w:tc>
              <w:tc>
                <w:tcPr>
                  <w:tcW w:w="2539" w:type="dxa"/>
                  <w:vAlign w:val="center"/>
                  <w:hideMark/>
                </w:tcPr>
                <w:p w14:paraId="5668DA64" w14:textId="77777777" w:rsidR="00D210AE" w:rsidRPr="00D210AE" w:rsidRDefault="00D210AE" w:rsidP="00CB3D8E">
                  <w:pPr>
                    <w:jc w:val="both"/>
                    <w:rPr>
                      <w:rFonts w:asciiTheme="minorHAnsi" w:hAnsiTheme="minorHAnsi" w:cs="Arial"/>
                      <w:sz w:val="18"/>
                      <w:szCs w:val="18"/>
                    </w:rPr>
                  </w:pPr>
                  <w:r w:rsidRPr="00D210AE">
                    <w:rPr>
                      <w:rFonts w:asciiTheme="minorHAnsi" w:hAnsiTheme="minorHAnsi" w:cs="Arial"/>
                      <w:sz w:val="18"/>
                      <w:szCs w:val="18"/>
                    </w:rPr>
                    <w:t>Inoportuna consecución / renovación de disponibilidad de servicios públicos</w:t>
                  </w:r>
                </w:p>
              </w:tc>
              <w:tc>
                <w:tcPr>
                  <w:tcW w:w="5670" w:type="dxa"/>
                  <w:vAlign w:val="center"/>
                  <w:hideMark/>
                </w:tcPr>
                <w:p w14:paraId="0B0C9FF7" w14:textId="361BA737" w:rsidR="00D210AE" w:rsidRPr="00D210AE" w:rsidRDefault="00D210AE" w:rsidP="00CB3D8E">
                  <w:pPr>
                    <w:jc w:val="both"/>
                    <w:rPr>
                      <w:rFonts w:asciiTheme="minorHAnsi" w:hAnsiTheme="minorHAnsi" w:cs="Arial"/>
                      <w:sz w:val="18"/>
                      <w:szCs w:val="18"/>
                    </w:rPr>
                  </w:pPr>
                  <w:r w:rsidRPr="00D210AE">
                    <w:rPr>
                      <w:rFonts w:asciiTheme="minorHAnsi" w:hAnsiTheme="minorHAnsi" w:cs="Arial"/>
                      <w:sz w:val="18"/>
                      <w:szCs w:val="18"/>
                    </w:rPr>
                    <w:t>- Inadecuado seguimiento a vigencia de las disponibilidades de servicios obtenidas.</w:t>
                  </w:r>
                </w:p>
                <w:p w14:paraId="0F8F0506" w14:textId="1DF9E8A3" w:rsidR="00D210AE" w:rsidRPr="00D210AE" w:rsidRDefault="00D210AE" w:rsidP="00CB3D8E">
                  <w:pPr>
                    <w:jc w:val="both"/>
                    <w:rPr>
                      <w:rFonts w:asciiTheme="minorHAnsi" w:hAnsiTheme="minorHAnsi" w:cs="Arial"/>
                      <w:sz w:val="18"/>
                      <w:szCs w:val="18"/>
                    </w:rPr>
                  </w:pPr>
                  <w:r w:rsidRPr="00D210AE">
                    <w:rPr>
                      <w:rFonts w:asciiTheme="minorHAnsi" w:hAnsiTheme="minorHAnsi" w:cs="Arial"/>
                      <w:sz w:val="18"/>
                      <w:szCs w:val="18"/>
                    </w:rPr>
                    <w:t xml:space="preserve">- Subestimar los plazos y requisitos aplicables </w:t>
                  </w:r>
                  <w:r w:rsidR="003228B4" w:rsidRPr="00D210AE">
                    <w:rPr>
                      <w:rFonts w:asciiTheme="minorHAnsi" w:hAnsiTheme="minorHAnsi" w:cs="Arial"/>
                      <w:sz w:val="18"/>
                      <w:szCs w:val="18"/>
                    </w:rPr>
                    <w:t>para lograr</w:t>
                  </w:r>
                  <w:r w:rsidRPr="00D210AE">
                    <w:rPr>
                      <w:rFonts w:asciiTheme="minorHAnsi" w:hAnsiTheme="minorHAnsi" w:cs="Arial"/>
                      <w:sz w:val="18"/>
                      <w:szCs w:val="18"/>
                    </w:rPr>
                    <w:t xml:space="preserve"> la conexión a las redes existentes.</w:t>
                  </w:r>
                </w:p>
              </w:tc>
            </w:tr>
            <w:tr w:rsidR="00D210AE" w:rsidRPr="00D210AE" w14:paraId="28EBF13F" w14:textId="77777777" w:rsidTr="00CB3D8E">
              <w:trPr>
                <w:trHeight w:val="347"/>
                <w:jc w:val="center"/>
              </w:trPr>
              <w:tc>
                <w:tcPr>
                  <w:tcW w:w="591" w:type="dxa"/>
                  <w:vAlign w:val="center"/>
                  <w:hideMark/>
                </w:tcPr>
                <w:p w14:paraId="29EFF834" w14:textId="2AFC8466" w:rsidR="00D210AE" w:rsidRPr="00D210AE" w:rsidRDefault="005B0648" w:rsidP="00CB3D8E">
                  <w:pPr>
                    <w:jc w:val="center"/>
                    <w:rPr>
                      <w:rFonts w:asciiTheme="minorHAnsi" w:hAnsiTheme="minorHAnsi" w:cs="Arial"/>
                      <w:sz w:val="18"/>
                      <w:szCs w:val="18"/>
                    </w:rPr>
                  </w:pPr>
                  <w:r>
                    <w:rPr>
                      <w:rFonts w:asciiTheme="minorHAnsi" w:hAnsiTheme="minorHAnsi" w:cs="Arial"/>
                      <w:sz w:val="18"/>
                      <w:szCs w:val="18"/>
                    </w:rPr>
                    <w:t>2</w:t>
                  </w:r>
                </w:p>
              </w:tc>
              <w:tc>
                <w:tcPr>
                  <w:tcW w:w="2539" w:type="dxa"/>
                  <w:vAlign w:val="center"/>
                  <w:hideMark/>
                </w:tcPr>
                <w:p w14:paraId="7611A679" w14:textId="128B809A" w:rsidR="00D210AE" w:rsidRPr="00D210AE" w:rsidRDefault="00D210AE" w:rsidP="00CB3D8E">
                  <w:pPr>
                    <w:jc w:val="both"/>
                    <w:rPr>
                      <w:rFonts w:asciiTheme="minorHAnsi" w:hAnsiTheme="minorHAnsi" w:cs="Arial"/>
                      <w:sz w:val="18"/>
                      <w:szCs w:val="18"/>
                    </w:rPr>
                  </w:pPr>
                  <w:r w:rsidRPr="00D210AE">
                    <w:rPr>
                      <w:rFonts w:asciiTheme="minorHAnsi" w:hAnsiTheme="minorHAnsi" w:cs="Arial"/>
                      <w:sz w:val="18"/>
                      <w:szCs w:val="18"/>
                    </w:rPr>
                    <w:t>Atrasos en proyectos</w:t>
                  </w:r>
                </w:p>
              </w:tc>
              <w:tc>
                <w:tcPr>
                  <w:tcW w:w="5670" w:type="dxa"/>
                  <w:vAlign w:val="center"/>
                  <w:hideMark/>
                </w:tcPr>
                <w:p w14:paraId="1E2C6A05" w14:textId="27BF3B10" w:rsidR="00D210AE" w:rsidRPr="00D210AE" w:rsidRDefault="00D210AE" w:rsidP="00CB3D8E">
                  <w:pPr>
                    <w:jc w:val="both"/>
                    <w:rPr>
                      <w:rFonts w:asciiTheme="minorHAnsi" w:hAnsiTheme="minorHAnsi" w:cs="Arial"/>
                      <w:sz w:val="18"/>
                      <w:szCs w:val="18"/>
                    </w:rPr>
                  </w:pPr>
                  <w:r w:rsidRPr="00D210AE">
                    <w:rPr>
                      <w:rFonts w:asciiTheme="minorHAnsi" w:hAnsiTheme="minorHAnsi" w:cs="Arial"/>
                      <w:sz w:val="18"/>
                      <w:szCs w:val="18"/>
                    </w:rPr>
                    <w:t>Desconocimiento o falta de aplicación de herramientas adecuadas para la gestión de proyectos.</w:t>
                  </w:r>
                </w:p>
              </w:tc>
            </w:tr>
            <w:tr w:rsidR="00D210AE" w:rsidRPr="00D210AE" w14:paraId="699E2FDF" w14:textId="77777777" w:rsidTr="00CB3D8E">
              <w:trPr>
                <w:trHeight w:val="477"/>
                <w:jc w:val="center"/>
              </w:trPr>
              <w:tc>
                <w:tcPr>
                  <w:tcW w:w="591" w:type="dxa"/>
                  <w:vAlign w:val="center"/>
                  <w:hideMark/>
                </w:tcPr>
                <w:p w14:paraId="7E92D6E6" w14:textId="45F27D00" w:rsidR="00D210AE" w:rsidRPr="00D210AE" w:rsidRDefault="005B0648" w:rsidP="00CB3D8E">
                  <w:pPr>
                    <w:jc w:val="center"/>
                    <w:rPr>
                      <w:rFonts w:asciiTheme="minorHAnsi" w:hAnsiTheme="minorHAnsi" w:cs="Arial"/>
                      <w:sz w:val="18"/>
                      <w:szCs w:val="18"/>
                    </w:rPr>
                  </w:pPr>
                  <w:r>
                    <w:rPr>
                      <w:rFonts w:asciiTheme="minorHAnsi" w:hAnsiTheme="minorHAnsi" w:cs="Arial"/>
                      <w:sz w:val="18"/>
                      <w:szCs w:val="18"/>
                    </w:rPr>
                    <w:t>3</w:t>
                  </w:r>
                </w:p>
              </w:tc>
              <w:tc>
                <w:tcPr>
                  <w:tcW w:w="2539" w:type="dxa"/>
                  <w:vAlign w:val="center"/>
                  <w:hideMark/>
                </w:tcPr>
                <w:p w14:paraId="624B2DAA" w14:textId="438131CE" w:rsidR="00D210AE" w:rsidRPr="00D210AE" w:rsidRDefault="00D210AE" w:rsidP="00CB3D8E">
                  <w:pPr>
                    <w:jc w:val="both"/>
                    <w:rPr>
                      <w:rFonts w:asciiTheme="minorHAnsi" w:hAnsiTheme="minorHAnsi" w:cs="Arial"/>
                      <w:sz w:val="18"/>
                      <w:szCs w:val="18"/>
                    </w:rPr>
                  </w:pPr>
                  <w:r w:rsidRPr="00D210AE">
                    <w:rPr>
                      <w:rFonts w:asciiTheme="minorHAnsi" w:hAnsiTheme="minorHAnsi" w:cs="Arial"/>
                      <w:sz w:val="18"/>
                      <w:szCs w:val="18"/>
                    </w:rPr>
                    <w:t>Inconsistencias en registros financieros (actas, SIFA, PSA)</w:t>
                  </w:r>
                </w:p>
              </w:tc>
              <w:tc>
                <w:tcPr>
                  <w:tcW w:w="5670" w:type="dxa"/>
                  <w:vAlign w:val="center"/>
                  <w:hideMark/>
                </w:tcPr>
                <w:p w14:paraId="7923B330" w14:textId="4333B522" w:rsidR="00D210AE" w:rsidRPr="00D210AE" w:rsidRDefault="007F08FD" w:rsidP="00CB3D8E">
                  <w:pPr>
                    <w:jc w:val="both"/>
                    <w:rPr>
                      <w:rFonts w:asciiTheme="minorHAnsi" w:hAnsiTheme="minorHAnsi" w:cs="Arial"/>
                      <w:sz w:val="18"/>
                      <w:szCs w:val="18"/>
                    </w:rPr>
                  </w:pPr>
                  <w:r>
                    <w:rPr>
                      <w:rFonts w:asciiTheme="minorHAnsi" w:hAnsiTheme="minorHAnsi" w:cs="Arial"/>
                      <w:sz w:val="18"/>
                      <w:szCs w:val="18"/>
                    </w:rPr>
                    <w:t>N/A</w:t>
                  </w:r>
                </w:p>
              </w:tc>
            </w:tr>
            <w:tr w:rsidR="00D210AE" w:rsidRPr="00D210AE" w14:paraId="48E67A90" w14:textId="77777777" w:rsidTr="00CB3D8E">
              <w:trPr>
                <w:trHeight w:val="362"/>
                <w:jc w:val="center"/>
              </w:trPr>
              <w:tc>
                <w:tcPr>
                  <w:tcW w:w="591" w:type="dxa"/>
                  <w:vAlign w:val="center"/>
                  <w:hideMark/>
                </w:tcPr>
                <w:p w14:paraId="749F6C87" w14:textId="35ABB15E" w:rsidR="00D210AE" w:rsidRPr="00D210AE" w:rsidRDefault="005B0648" w:rsidP="00CB3D8E">
                  <w:pPr>
                    <w:jc w:val="center"/>
                    <w:rPr>
                      <w:rFonts w:asciiTheme="minorHAnsi" w:hAnsiTheme="minorHAnsi" w:cs="Arial"/>
                      <w:sz w:val="18"/>
                      <w:szCs w:val="18"/>
                    </w:rPr>
                  </w:pPr>
                  <w:r>
                    <w:rPr>
                      <w:rFonts w:asciiTheme="minorHAnsi" w:hAnsiTheme="minorHAnsi" w:cs="Arial"/>
                      <w:sz w:val="18"/>
                      <w:szCs w:val="18"/>
                    </w:rPr>
                    <w:t>4</w:t>
                  </w:r>
                </w:p>
              </w:tc>
              <w:tc>
                <w:tcPr>
                  <w:tcW w:w="2539" w:type="dxa"/>
                  <w:vAlign w:val="center"/>
                  <w:hideMark/>
                </w:tcPr>
                <w:p w14:paraId="2313742D" w14:textId="77777777" w:rsidR="00D210AE" w:rsidRPr="00D210AE" w:rsidRDefault="00D210AE" w:rsidP="00CB3D8E">
                  <w:pPr>
                    <w:jc w:val="both"/>
                    <w:rPr>
                      <w:rFonts w:asciiTheme="minorHAnsi" w:hAnsiTheme="minorHAnsi" w:cs="Arial"/>
                      <w:sz w:val="18"/>
                      <w:szCs w:val="18"/>
                    </w:rPr>
                  </w:pPr>
                  <w:r w:rsidRPr="00D210AE">
                    <w:rPr>
                      <w:rFonts w:asciiTheme="minorHAnsi" w:hAnsiTheme="minorHAnsi" w:cs="Arial"/>
                      <w:sz w:val="18"/>
                      <w:szCs w:val="18"/>
                    </w:rPr>
                    <w:t>Calidad de los entregables del proyecto</w:t>
                  </w:r>
                </w:p>
              </w:tc>
              <w:tc>
                <w:tcPr>
                  <w:tcW w:w="5670" w:type="dxa"/>
                  <w:vAlign w:val="center"/>
                  <w:hideMark/>
                </w:tcPr>
                <w:p w14:paraId="3C5CA303" w14:textId="77777777" w:rsidR="00D210AE" w:rsidRPr="00D210AE" w:rsidRDefault="00D210AE" w:rsidP="00CB3D8E">
                  <w:pPr>
                    <w:jc w:val="both"/>
                    <w:rPr>
                      <w:rFonts w:asciiTheme="minorHAnsi" w:hAnsiTheme="minorHAnsi" w:cs="Arial"/>
                      <w:sz w:val="18"/>
                      <w:szCs w:val="18"/>
                    </w:rPr>
                  </w:pPr>
                  <w:r w:rsidRPr="00D210AE">
                    <w:rPr>
                      <w:rFonts w:asciiTheme="minorHAnsi" w:hAnsiTheme="minorHAnsi" w:cs="Arial"/>
                      <w:sz w:val="18"/>
                      <w:szCs w:val="18"/>
                    </w:rPr>
                    <w:t>Falta de cultura de calidad en los contratistas de obra e interventoría seleccionados.</w:t>
                  </w:r>
                </w:p>
              </w:tc>
            </w:tr>
            <w:tr w:rsidR="005B0648" w:rsidRPr="00D210AE" w14:paraId="6BD19CF3" w14:textId="77777777" w:rsidTr="00CB3D8E">
              <w:trPr>
                <w:trHeight w:val="370"/>
                <w:jc w:val="center"/>
              </w:trPr>
              <w:tc>
                <w:tcPr>
                  <w:tcW w:w="591" w:type="dxa"/>
                  <w:vAlign w:val="center"/>
                  <w:hideMark/>
                </w:tcPr>
                <w:p w14:paraId="4CF8C34C" w14:textId="6A05A2A5"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5</w:t>
                  </w:r>
                </w:p>
              </w:tc>
              <w:tc>
                <w:tcPr>
                  <w:tcW w:w="2539" w:type="dxa"/>
                  <w:vAlign w:val="center"/>
                  <w:hideMark/>
                </w:tcPr>
                <w:p w14:paraId="7E692468"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Inadecuada disponibilidad de documentación al interior de la entidad</w:t>
                  </w:r>
                </w:p>
              </w:tc>
              <w:tc>
                <w:tcPr>
                  <w:tcW w:w="5670" w:type="dxa"/>
                  <w:vAlign w:val="center"/>
                  <w:hideMark/>
                </w:tcPr>
                <w:p w14:paraId="22A695E8" w14:textId="445FC70A"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Posible falta de amigabilidad de la Plataforma Datafono</w:t>
                  </w:r>
                  <w:r w:rsidRPr="00D210AE">
                    <w:rPr>
                      <w:rFonts w:asciiTheme="minorHAnsi" w:hAnsiTheme="minorHAnsi" w:cs="Arial"/>
                      <w:sz w:val="18"/>
                      <w:szCs w:val="18"/>
                    </w:rPr>
                    <w:br/>
                    <w:t>Transición inadecuada de plataforma(s) anteriores a datafono.</w:t>
                  </w:r>
                </w:p>
              </w:tc>
            </w:tr>
            <w:tr w:rsidR="005B0648" w:rsidRPr="00D210AE" w14:paraId="73E40386" w14:textId="77777777" w:rsidTr="00CB3D8E">
              <w:trPr>
                <w:trHeight w:val="300"/>
                <w:jc w:val="center"/>
              </w:trPr>
              <w:tc>
                <w:tcPr>
                  <w:tcW w:w="591" w:type="dxa"/>
                  <w:vAlign w:val="center"/>
                  <w:hideMark/>
                </w:tcPr>
                <w:p w14:paraId="637F14E8" w14:textId="56C23D1A"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6</w:t>
                  </w:r>
                </w:p>
              </w:tc>
              <w:tc>
                <w:tcPr>
                  <w:tcW w:w="2539" w:type="dxa"/>
                  <w:vAlign w:val="center"/>
                  <w:hideMark/>
                </w:tcPr>
                <w:p w14:paraId="1D51E139"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Gestión de calidad</w:t>
                  </w:r>
                </w:p>
              </w:tc>
              <w:tc>
                <w:tcPr>
                  <w:tcW w:w="5670" w:type="dxa"/>
                  <w:vAlign w:val="center"/>
                  <w:hideMark/>
                </w:tcPr>
                <w:p w14:paraId="693A127C"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Falta de cultura de calidad en los contratistas seleccionados</w:t>
                  </w:r>
                </w:p>
              </w:tc>
            </w:tr>
            <w:tr w:rsidR="005B0648" w:rsidRPr="00D210AE" w14:paraId="79AD4B91" w14:textId="77777777" w:rsidTr="00CB3D8E">
              <w:trPr>
                <w:trHeight w:val="675"/>
                <w:jc w:val="center"/>
              </w:trPr>
              <w:tc>
                <w:tcPr>
                  <w:tcW w:w="591" w:type="dxa"/>
                  <w:vAlign w:val="center"/>
                  <w:hideMark/>
                </w:tcPr>
                <w:p w14:paraId="0D681BC7" w14:textId="78DD9E7A"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7</w:t>
                  </w:r>
                </w:p>
              </w:tc>
              <w:tc>
                <w:tcPr>
                  <w:tcW w:w="2539" w:type="dxa"/>
                  <w:vAlign w:val="center"/>
                  <w:hideMark/>
                </w:tcPr>
                <w:p w14:paraId="6DFE4A93"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Gestión de riesgos</w:t>
                  </w:r>
                </w:p>
              </w:tc>
              <w:tc>
                <w:tcPr>
                  <w:tcW w:w="5670" w:type="dxa"/>
                  <w:vAlign w:val="center"/>
                  <w:hideMark/>
                </w:tcPr>
                <w:p w14:paraId="4F7FECD3"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Falta de conciencia sobra la importancia y utilidad de realizar una adecuada gestión de riesgos por parte de los contratistas de obra e interventoría seleccionados</w:t>
                  </w:r>
                </w:p>
              </w:tc>
            </w:tr>
            <w:tr w:rsidR="005B0648" w:rsidRPr="00D210AE" w14:paraId="1BAACD00" w14:textId="77777777" w:rsidTr="00CB3D8E">
              <w:trPr>
                <w:trHeight w:val="675"/>
                <w:jc w:val="center"/>
              </w:trPr>
              <w:tc>
                <w:tcPr>
                  <w:tcW w:w="591" w:type="dxa"/>
                  <w:vAlign w:val="center"/>
                  <w:hideMark/>
                </w:tcPr>
                <w:p w14:paraId="0838EF9E" w14:textId="7DFDB1A2"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8</w:t>
                  </w:r>
                </w:p>
              </w:tc>
              <w:tc>
                <w:tcPr>
                  <w:tcW w:w="2539" w:type="dxa"/>
                  <w:vAlign w:val="center"/>
                  <w:hideMark/>
                </w:tcPr>
                <w:p w14:paraId="0B4D3048"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Documentación incompleta en la entrega de proyectos</w:t>
                  </w:r>
                </w:p>
              </w:tc>
              <w:tc>
                <w:tcPr>
                  <w:tcW w:w="5670" w:type="dxa"/>
                  <w:vAlign w:val="center"/>
                  <w:hideMark/>
                </w:tcPr>
                <w:p w14:paraId="2B41F042" w14:textId="6A64D374"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No se tienen herramientas adecuadas para que los T.T. de los sectores/macroproyectos controlen y tengan acceso permanente a la documentación de los proyectos.</w:t>
                  </w:r>
                </w:p>
              </w:tc>
            </w:tr>
            <w:tr w:rsidR="005B0648" w:rsidRPr="00D210AE" w14:paraId="5FFF28B5" w14:textId="77777777" w:rsidTr="00CB3D8E">
              <w:trPr>
                <w:trHeight w:val="503"/>
                <w:jc w:val="center"/>
              </w:trPr>
              <w:tc>
                <w:tcPr>
                  <w:tcW w:w="591" w:type="dxa"/>
                  <w:vAlign w:val="center"/>
                  <w:hideMark/>
                </w:tcPr>
                <w:p w14:paraId="0287353F" w14:textId="45C75CDB"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9</w:t>
                  </w:r>
                </w:p>
              </w:tc>
              <w:tc>
                <w:tcPr>
                  <w:tcW w:w="2539" w:type="dxa"/>
                  <w:vAlign w:val="center"/>
                  <w:hideMark/>
                </w:tcPr>
                <w:p w14:paraId="181266DD"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Coordinación interinstitucional</w:t>
                  </w:r>
                </w:p>
              </w:tc>
              <w:tc>
                <w:tcPr>
                  <w:tcW w:w="5670" w:type="dxa"/>
                  <w:vAlign w:val="center"/>
                  <w:hideMark/>
                </w:tcPr>
                <w:p w14:paraId="1500EFE0" w14:textId="3910FCFB"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Desconocimiento de herramientas para la adecuada gestión de las partes interesadas (stakeholders), tales, como matriz influencia - poder.</w:t>
                  </w:r>
                </w:p>
              </w:tc>
            </w:tr>
            <w:tr w:rsidR="005B0648" w:rsidRPr="00D210AE" w14:paraId="4DCCC7B3" w14:textId="77777777" w:rsidTr="00CB3D8E">
              <w:trPr>
                <w:trHeight w:val="441"/>
                <w:jc w:val="center"/>
              </w:trPr>
              <w:tc>
                <w:tcPr>
                  <w:tcW w:w="591" w:type="dxa"/>
                  <w:vAlign w:val="center"/>
                  <w:hideMark/>
                </w:tcPr>
                <w:p w14:paraId="5AC99AC4" w14:textId="5CCAE9C5"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10</w:t>
                  </w:r>
                </w:p>
              </w:tc>
              <w:tc>
                <w:tcPr>
                  <w:tcW w:w="2539" w:type="dxa"/>
                  <w:vAlign w:val="center"/>
                  <w:hideMark/>
                </w:tcPr>
                <w:p w14:paraId="03434A71" w14:textId="120381E4"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 xml:space="preserve">Debilidades en el uso del sistema de información para la gestión de Proyectos </w:t>
                  </w:r>
                  <w:r w:rsidR="00E55954">
                    <w:rPr>
                      <w:rFonts w:asciiTheme="minorHAnsi" w:hAnsiTheme="minorHAnsi" w:cs="Arial"/>
                      <w:sz w:val="18"/>
                      <w:szCs w:val="18"/>
                    </w:rPr>
                    <w:t>–</w:t>
                  </w:r>
                  <w:r w:rsidRPr="00D210AE">
                    <w:rPr>
                      <w:rFonts w:asciiTheme="minorHAnsi" w:hAnsiTheme="minorHAnsi" w:cs="Arial"/>
                      <w:sz w:val="18"/>
                      <w:szCs w:val="18"/>
                    </w:rPr>
                    <w:t xml:space="preserve"> PSA</w:t>
                  </w:r>
                </w:p>
              </w:tc>
              <w:tc>
                <w:tcPr>
                  <w:tcW w:w="5670" w:type="dxa"/>
                  <w:vAlign w:val="center"/>
                  <w:hideMark/>
                </w:tcPr>
                <w:p w14:paraId="478B807B"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Posible desconocimiento de todos los requisitos de manual de PSA por parte de supervisores y contratistas.</w:t>
                  </w:r>
                </w:p>
              </w:tc>
            </w:tr>
            <w:tr w:rsidR="005B0648" w:rsidRPr="00D210AE" w14:paraId="188CDB4A" w14:textId="77777777" w:rsidTr="00CB3D8E">
              <w:trPr>
                <w:trHeight w:val="1140"/>
                <w:jc w:val="center"/>
              </w:trPr>
              <w:tc>
                <w:tcPr>
                  <w:tcW w:w="591" w:type="dxa"/>
                  <w:vAlign w:val="center"/>
                  <w:hideMark/>
                </w:tcPr>
                <w:p w14:paraId="441606C7" w14:textId="479CD12A"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11</w:t>
                  </w:r>
                </w:p>
              </w:tc>
              <w:tc>
                <w:tcPr>
                  <w:tcW w:w="2539" w:type="dxa"/>
                  <w:vAlign w:val="center"/>
                  <w:hideMark/>
                </w:tcPr>
                <w:p w14:paraId="1C0ED796"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Condiciones de SST en la ejecución de los proyectos</w:t>
                  </w:r>
                </w:p>
              </w:tc>
              <w:tc>
                <w:tcPr>
                  <w:tcW w:w="5670" w:type="dxa"/>
                  <w:vAlign w:val="center"/>
                  <w:hideMark/>
                </w:tcPr>
                <w:p w14:paraId="0071606D" w14:textId="54CD3EF9"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 xml:space="preserve">- Barreras culturales y climáticas para uso adecuado de </w:t>
                  </w:r>
                  <w:proofErr w:type="spellStart"/>
                  <w:r w:rsidRPr="00D210AE">
                    <w:rPr>
                      <w:rFonts w:asciiTheme="minorHAnsi" w:hAnsiTheme="minorHAnsi" w:cs="Arial"/>
                      <w:sz w:val="18"/>
                      <w:szCs w:val="18"/>
                    </w:rPr>
                    <w:t>e.p.p</w:t>
                  </w:r>
                  <w:proofErr w:type="spellEnd"/>
                  <w:r w:rsidRPr="00D210AE">
                    <w:rPr>
                      <w:rFonts w:asciiTheme="minorHAnsi" w:hAnsiTheme="minorHAnsi" w:cs="Arial"/>
                      <w:sz w:val="18"/>
                      <w:szCs w:val="18"/>
                    </w:rPr>
                    <w:t>.</w:t>
                  </w:r>
                  <w:r w:rsidRPr="00D210AE">
                    <w:rPr>
                      <w:rFonts w:asciiTheme="minorHAnsi" w:hAnsiTheme="minorHAnsi" w:cs="Arial"/>
                      <w:sz w:val="18"/>
                      <w:szCs w:val="18"/>
                    </w:rPr>
                    <w:br/>
                    <w:t>- Tolerancia de supervisores e interventores ante actos y condiciones inseguras de los contratistas de obra.</w:t>
                  </w:r>
                  <w:r w:rsidRPr="00D210AE">
                    <w:rPr>
                      <w:rFonts w:asciiTheme="minorHAnsi" w:hAnsiTheme="minorHAnsi" w:cs="Arial"/>
                      <w:sz w:val="18"/>
                      <w:szCs w:val="18"/>
                    </w:rPr>
                    <w:br/>
                    <w:t>- Falta de aplicación adecuada de los sistemas de Gestión en Seguridad y Salud en el Trabajo (SG-SST).</w:t>
                  </w:r>
                </w:p>
              </w:tc>
            </w:tr>
            <w:tr w:rsidR="005B0648" w:rsidRPr="00D210AE" w14:paraId="2CA73E57" w14:textId="77777777" w:rsidTr="00CB3D8E">
              <w:trPr>
                <w:trHeight w:val="372"/>
                <w:jc w:val="center"/>
              </w:trPr>
              <w:tc>
                <w:tcPr>
                  <w:tcW w:w="591" w:type="dxa"/>
                  <w:vAlign w:val="center"/>
                  <w:hideMark/>
                </w:tcPr>
                <w:p w14:paraId="6EC5675E" w14:textId="3726E3CF"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12</w:t>
                  </w:r>
                </w:p>
              </w:tc>
              <w:tc>
                <w:tcPr>
                  <w:tcW w:w="2539" w:type="dxa"/>
                  <w:vAlign w:val="center"/>
                  <w:hideMark/>
                </w:tcPr>
                <w:p w14:paraId="261B836A"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Documentación incompleta / inadecuada en obra</w:t>
                  </w:r>
                </w:p>
              </w:tc>
              <w:tc>
                <w:tcPr>
                  <w:tcW w:w="5670" w:type="dxa"/>
                  <w:vAlign w:val="center"/>
                  <w:hideMark/>
                </w:tcPr>
                <w:p w14:paraId="088D37ED" w14:textId="55609B02"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Controles insuficientes a la documentación en obra.</w:t>
                  </w:r>
                </w:p>
              </w:tc>
            </w:tr>
            <w:tr w:rsidR="005B0648" w:rsidRPr="00D210AE" w14:paraId="4EB1D2A4" w14:textId="77777777" w:rsidTr="00CB3D8E">
              <w:trPr>
                <w:trHeight w:val="340"/>
                <w:jc w:val="center"/>
              </w:trPr>
              <w:tc>
                <w:tcPr>
                  <w:tcW w:w="591" w:type="dxa"/>
                  <w:vAlign w:val="center"/>
                  <w:hideMark/>
                </w:tcPr>
                <w:p w14:paraId="270F4EC6" w14:textId="5A632FE5"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13</w:t>
                  </w:r>
                </w:p>
              </w:tc>
              <w:tc>
                <w:tcPr>
                  <w:tcW w:w="2539" w:type="dxa"/>
                  <w:vAlign w:val="center"/>
                  <w:hideMark/>
                </w:tcPr>
                <w:p w14:paraId="114DBA21"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Definición del alcance de los proyectos Inadecuado / insuficiente</w:t>
                  </w:r>
                </w:p>
              </w:tc>
              <w:tc>
                <w:tcPr>
                  <w:tcW w:w="5670" w:type="dxa"/>
                  <w:vAlign w:val="center"/>
                  <w:hideMark/>
                </w:tcPr>
                <w:p w14:paraId="6DEA404E" w14:textId="635487A8"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 xml:space="preserve">Desconocimiento de procesos para la adecuada planificación, validación y control del alcance, tales como Definición del alcance, recopilación de requisitos, EDT (WBS); así como de sus herramientas </w:t>
                  </w:r>
                  <w:r w:rsidRPr="00D210AE">
                    <w:rPr>
                      <w:rFonts w:asciiTheme="minorHAnsi" w:hAnsiTheme="minorHAnsi" w:cs="Arial"/>
                      <w:sz w:val="18"/>
                      <w:szCs w:val="18"/>
                    </w:rPr>
                    <w:lastRenderedPageBreak/>
                    <w:t>(declaración de alcance, supuestos y restricciones, reuniones de inicio, etc.)</w:t>
                  </w:r>
                </w:p>
              </w:tc>
            </w:tr>
            <w:tr w:rsidR="005B0648" w:rsidRPr="00D210AE" w14:paraId="68F18921" w14:textId="77777777" w:rsidTr="00CB3D8E">
              <w:trPr>
                <w:trHeight w:val="300"/>
                <w:jc w:val="center"/>
              </w:trPr>
              <w:tc>
                <w:tcPr>
                  <w:tcW w:w="591" w:type="dxa"/>
                  <w:vAlign w:val="center"/>
                  <w:hideMark/>
                </w:tcPr>
                <w:p w14:paraId="16EAC369" w14:textId="3E7BC6B3"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lastRenderedPageBreak/>
                    <w:t>14</w:t>
                  </w:r>
                </w:p>
              </w:tc>
              <w:tc>
                <w:tcPr>
                  <w:tcW w:w="2539" w:type="dxa"/>
                  <w:vAlign w:val="center"/>
                  <w:hideMark/>
                </w:tcPr>
                <w:p w14:paraId="475740DA"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Vigencia inadecuada para los contratos de interventoría</w:t>
                  </w:r>
                </w:p>
              </w:tc>
              <w:tc>
                <w:tcPr>
                  <w:tcW w:w="5670" w:type="dxa"/>
                  <w:vAlign w:val="center"/>
                  <w:hideMark/>
                </w:tcPr>
                <w:p w14:paraId="795FBD63"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Deficiente planeación de los proyectos</w:t>
                  </w:r>
                </w:p>
              </w:tc>
            </w:tr>
            <w:tr w:rsidR="005B0648" w:rsidRPr="00D210AE" w14:paraId="6C1751E1" w14:textId="77777777" w:rsidTr="00CB3D8E">
              <w:trPr>
                <w:trHeight w:val="264"/>
                <w:jc w:val="center"/>
              </w:trPr>
              <w:tc>
                <w:tcPr>
                  <w:tcW w:w="591" w:type="dxa"/>
                  <w:vAlign w:val="center"/>
                  <w:hideMark/>
                </w:tcPr>
                <w:p w14:paraId="1526B518" w14:textId="052317D8"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15</w:t>
                  </w:r>
                </w:p>
              </w:tc>
              <w:tc>
                <w:tcPr>
                  <w:tcW w:w="2539" w:type="dxa"/>
                  <w:vAlign w:val="center"/>
                  <w:hideMark/>
                </w:tcPr>
                <w:p w14:paraId="08FE2819"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Inadecuadas condiciones en el cambio de contratistas de obra</w:t>
                  </w:r>
                </w:p>
              </w:tc>
              <w:tc>
                <w:tcPr>
                  <w:tcW w:w="5670" w:type="dxa"/>
                  <w:vAlign w:val="center"/>
                  <w:hideMark/>
                </w:tcPr>
                <w:p w14:paraId="1954FA69"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Ausencia de protocolos adecuados para cesión de contratos.</w:t>
                  </w:r>
                </w:p>
              </w:tc>
            </w:tr>
            <w:tr w:rsidR="005B0648" w:rsidRPr="00D210AE" w14:paraId="32B4D378" w14:textId="77777777" w:rsidTr="00CB3D8E">
              <w:trPr>
                <w:trHeight w:val="383"/>
                <w:jc w:val="center"/>
              </w:trPr>
              <w:tc>
                <w:tcPr>
                  <w:tcW w:w="591" w:type="dxa"/>
                  <w:vAlign w:val="center"/>
                  <w:hideMark/>
                </w:tcPr>
                <w:p w14:paraId="55AD065E" w14:textId="43EC199B"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16</w:t>
                  </w:r>
                </w:p>
              </w:tc>
              <w:tc>
                <w:tcPr>
                  <w:tcW w:w="2539" w:type="dxa"/>
                  <w:vAlign w:val="center"/>
                  <w:hideMark/>
                </w:tcPr>
                <w:p w14:paraId="69DA380F"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Ejecución de actividades fuera de plazos contractuales</w:t>
                  </w:r>
                </w:p>
              </w:tc>
              <w:tc>
                <w:tcPr>
                  <w:tcW w:w="5670" w:type="dxa"/>
                  <w:vAlign w:val="center"/>
                  <w:hideMark/>
                </w:tcPr>
                <w:p w14:paraId="73A59793"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Inadecuado control a la vigencia de los contratos</w:t>
                  </w:r>
                </w:p>
              </w:tc>
            </w:tr>
            <w:tr w:rsidR="005B0648" w:rsidRPr="00D210AE" w14:paraId="3E700BE8" w14:textId="77777777" w:rsidTr="00CB3D8E">
              <w:trPr>
                <w:trHeight w:val="465"/>
                <w:jc w:val="center"/>
              </w:trPr>
              <w:tc>
                <w:tcPr>
                  <w:tcW w:w="591" w:type="dxa"/>
                  <w:vAlign w:val="center"/>
                  <w:hideMark/>
                </w:tcPr>
                <w:p w14:paraId="5E21802D" w14:textId="19F4FFC2"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17</w:t>
                  </w:r>
                </w:p>
              </w:tc>
              <w:tc>
                <w:tcPr>
                  <w:tcW w:w="2539" w:type="dxa"/>
                  <w:vAlign w:val="center"/>
                  <w:hideMark/>
                </w:tcPr>
                <w:p w14:paraId="463F3988"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Inoportuna consecución / renovación de permisos y licencias</w:t>
                  </w:r>
                </w:p>
              </w:tc>
              <w:tc>
                <w:tcPr>
                  <w:tcW w:w="5670" w:type="dxa"/>
                  <w:vAlign w:val="center"/>
                  <w:hideMark/>
                </w:tcPr>
                <w:p w14:paraId="028EE190"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Inadecuado involucramiento de los entes encargados de su expedición como partes interesadas de los proyectos.</w:t>
                  </w:r>
                </w:p>
              </w:tc>
            </w:tr>
            <w:tr w:rsidR="005B0648" w:rsidRPr="00D210AE" w14:paraId="4E1945F9" w14:textId="77777777" w:rsidTr="00CB3D8E">
              <w:trPr>
                <w:trHeight w:val="315"/>
                <w:jc w:val="center"/>
              </w:trPr>
              <w:tc>
                <w:tcPr>
                  <w:tcW w:w="591" w:type="dxa"/>
                  <w:vAlign w:val="center"/>
                  <w:hideMark/>
                </w:tcPr>
                <w:p w14:paraId="6B859EC5" w14:textId="311854D8"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18</w:t>
                  </w:r>
                </w:p>
              </w:tc>
              <w:tc>
                <w:tcPr>
                  <w:tcW w:w="2539" w:type="dxa"/>
                  <w:vAlign w:val="center"/>
                  <w:hideMark/>
                </w:tcPr>
                <w:p w14:paraId="0028D418"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Gestión de lecciones aprendidas</w:t>
                  </w:r>
                </w:p>
              </w:tc>
              <w:tc>
                <w:tcPr>
                  <w:tcW w:w="5670" w:type="dxa"/>
                  <w:vAlign w:val="center"/>
                  <w:hideMark/>
                </w:tcPr>
                <w:p w14:paraId="395D5F2E"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No existe en la entidad una cultura de mejoramiento continuo</w:t>
                  </w:r>
                </w:p>
              </w:tc>
            </w:tr>
            <w:tr w:rsidR="005B0648" w:rsidRPr="00D210AE" w14:paraId="3CC05783" w14:textId="77777777" w:rsidTr="00CB3D8E">
              <w:trPr>
                <w:trHeight w:val="603"/>
                <w:jc w:val="center"/>
              </w:trPr>
              <w:tc>
                <w:tcPr>
                  <w:tcW w:w="591" w:type="dxa"/>
                  <w:vAlign w:val="center"/>
                  <w:hideMark/>
                </w:tcPr>
                <w:p w14:paraId="3A9E36A7" w14:textId="5FD9EA06" w:rsidR="005B0648" w:rsidRPr="00D210AE" w:rsidRDefault="005B0648" w:rsidP="00CB3D8E">
                  <w:pPr>
                    <w:jc w:val="center"/>
                    <w:rPr>
                      <w:rFonts w:asciiTheme="minorHAnsi" w:hAnsiTheme="minorHAnsi" w:cs="Arial"/>
                      <w:sz w:val="18"/>
                      <w:szCs w:val="18"/>
                    </w:rPr>
                  </w:pPr>
                  <w:r w:rsidRPr="00D210AE">
                    <w:rPr>
                      <w:rFonts w:asciiTheme="minorHAnsi" w:hAnsiTheme="minorHAnsi" w:cs="Arial"/>
                      <w:sz w:val="18"/>
                      <w:szCs w:val="18"/>
                    </w:rPr>
                    <w:t>19</w:t>
                  </w:r>
                </w:p>
              </w:tc>
              <w:tc>
                <w:tcPr>
                  <w:tcW w:w="2539" w:type="dxa"/>
                  <w:vAlign w:val="center"/>
                  <w:hideMark/>
                </w:tcPr>
                <w:p w14:paraId="62A36C4C" w14:textId="77777777"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Participación ciudadana</w:t>
                  </w:r>
                </w:p>
              </w:tc>
              <w:tc>
                <w:tcPr>
                  <w:tcW w:w="5670" w:type="dxa"/>
                  <w:vAlign w:val="center"/>
                  <w:hideMark/>
                </w:tcPr>
                <w:p w14:paraId="327E9253" w14:textId="60F5B9BC" w:rsidR="005B0648" w:rsidRPr="00D210AE" w:rsidRDefault="005B0648" w:rsidP="00CB3D8E">
                  <w:pPr>
                    <w:jc w:val="both"/>
                    <w:rPr>
                      <w:rFonts w:asciiTheme="minorHAnsi" w:hAnsiTheme="minorHAnsi" w:cs="Arial"/>
                      <w:sz w:val="18"/>
                      <w:szCs w:val="18"/>
                    </w:rPr>
                  </w:pPr>
                  <w:r w:rsidRPr="00D210AE">
                    <w:rPr>
                      <w:rFonts w:asciiTheme="minorHAnsi" w:hAnsiTheme="minorHAnsi" w:cs="Arial"/>
                      <w:sz w:val="18"/>
                      <w:szCs w:val="18"/>
                    </w:rPr>
                    <w:t>- No se tiene un fácil acceso a repositorio (de información)</w:t>
                  </w:r>
                  <w:r w:rsidRPr="00D210AE">
                    <w:rPr>
                      <w:rFonts w:asciiTheme="minorHAnsi" w:hAnsiTheme="minorHAnsi" w:cs="Arial"/>
                      <w:sz w:val="18"/>
                      <w:szCs w:val="18"/>
                    </w:rPr>
                    <w:br/>
                    <w:t>- Falta de coordinación entre subgerencia de gestión de Regiones y subgerencia de Proyectos</w:t>
                  </w:r>
                </w:p>
              </w:tc>
            </w:tr>
          </w:tbl>
          <w:p w14:paraId="6832E6DE" w14:textId="6A4705E5" w:rsidR="00A52DC9" w:rsidRDefault="00A52DC9" w:rsidP="00CB3D8E">
            <w:pPr>
              <w:pStyle w:val="Prrafodelista"/>
              <w:numPr>
                <w:ilvl w:val="1"/>
                <w:numId w:val="38"/>
              </w:numPr>
              <w:spacing w:before="240" w:after="120"/>
              <w:ind w:left="1027"/>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Conclusiones</w:t>
            </w:r>
          </w:p>
          <w:p w14:paraId="07DA5981" w14:textId="77777777" w:rsidR="006C3B9C" w:rsidRPr="00F20438" w:rsidRDefault="006C3B9C" w:rsidP="006C3B9C">
            <w:pPr>
              <w:pStyle w:val="Prrafodelista"/>
              <w:spacing w:before="240" w:after="120"/>
              <w:ind w:left="1027"/>
              <w:jc w:val="both"/>
              <w:rPr>
                <w:rFonts w:asciiTheme="minorHAnsi" w:eastAsia="Arial Narrow" w:hAnsiTheme="minorHAnsi" w:cs="Arial"/>
                <w:b/>
                <w:bCs/>
                <w:color w:val="002465"/>
                <w:sz w:val="20"/>
                <w:szCs w:val="20"/>
              </w:rPr>
            </w:pPr>
          </w:p>
          <w:p w14:paraId="66C18453" w14:textId="2E2C0BB9" w:rsidR="005B0648" w:rsidRDefault="005B0648" w:rsidP="00CB3D8E">
            <w:pPr>
              <w:pStyle w:val="Prrafodelista"/>
              <w:numPr>
                <w:ilvl w:val="0"/>
                <w:numId w:val="42"/>
              </w:numPr>
              <w:jc w:val="both"/>
              <w:rPr>
                <w:rFonts w:asciiTheme="minorHAnsi" w:eastAsia="Arial Narrow" w:hAnsiTheme="minorHAnsi" w:cs="Arial"/>
                <w:color w:val="000000" w:themeColor="text1"/>
                <w:sz w:val="20"/>
                <w:szCs w:val="20"/>
              </w:rPr>
            </w:pPr>
            <w:r w:rsidRPr="005B0648">
              <w:rPr>
                <w:rFonts w:asciiTheme="minorHAnsi" w:eastAsia="Arial Narrow" w:hAnsiTheme="minorHAnsi" w:cs="Arial"/>
                <w:color w:val="000000" w:themeColor="text1"/>
                <w:sz w:val="20"/>
                <w:szCs w:val="20"/>
              </w:rPr>
              <w:t>Se evidencia una necesidad urgente de fortalecer la gestión de proyectos dentro de la entidad, dado que la alta incidencia de oportunidades de mejora relacionadas con la documentación, calidad de entregables y gestión de riesgos refleja deficiencias significativas en las prácticas actuales.</w:t>
            </w:r>
          </w:p>
          <w:p w14:paraId="78040B85" w14:textId="77777777" w:rsidR="005B0648" w:rsidRPr="005B0648" w:rsidRDefault="005B0648" w:rsidP="00CB3D8E">
            <w:pPr>
              <w:pStyle w:val="Prrafodelista"/>
              <w:jc w:val="both"/>
              <w:rPr>
                <w:rFonts w:asciiTheme="minorHAnsi" w:eastAsia="Arial Narrow" w:hAnsiTheme="minorHAnsi" w:cs="Arial"/>
                <w:color w:val="000000" w:themeColor="text1"/>
                <w:sz w:val="20"/>
                <w:szCs w:val="20"/>
              </w:rPr>
            </w:pPr>
          </w:p>
          <w:p w14:paraId="28FE4197" w14:textId="734AF14A" w:rsidR="005B0648" w:rsidRDefault="005B0648" w:rsidP="00CB3D8E">
            <w:pPr>
              <w:pStyle w:val="Prrafodelista"/>
              <w:numPr>
                <w:ilvl w:val="0"/>
                <w:numId w:val="42"/>
              </w:numPr>
              <w:jc w:val="both"/>
              <w:rPr>
                <w:rFonts w:asciiTheme="minorHAnsi" w:eastAsia="Arial Narrow" w:hAnsiTheme="minorHAnsi" w:cs="Arial"/>
                <w:color w:val="000000" w:themeColor="text1"/>
                <w:sz w:val="20"/>
                <w:szCs w:val="20"/>
              </w:rPr>
            </w:pPr>
            <w:r w:rsidRPr="005B0648">
              <w:rPr>
                <w:rFonts w:asciiTheme="minorHAnsi" w:eastAsia="Arial Narrow" w:hAnsiTheme="minorHAnsi" w:cs="Arial"/>
                <w:color w:val="000000" w:themeColor="text1"/>
                <w:sz w:val="20"/>
                <w:szCs w:val="20"/>
              </w:rPr>
              <w:t>Las deficiencias en la coordinación interinstitucional afectan negativamente la ejecución de los proyectos, generando retrasos y comprometiendo la entrega oportuna y la calidad de los resultados esperados.</w:t>
            </w:r>
          </w:p>
          <w:p w14:paraId="7602999C" w14:textId="77777777" w:rsidR="005B0648" w:rsidRPr="005B0648" w:rsidRDefault="005B0648" w:rsidP="00CB3D8E">
            <w:pPr>
              <w:pStyle w:val="Prrafodelista"/>
              <w:rPr>
                <w:rFonts w:asciiTheme="minorHAnsi" w:eastAsia="Arial Narrow" w:hAnsiTheme="minorHAnsi" w:cs="Arial"/>
                <w:color w:val="000000" w:themeColor="text1"/>
                <w:sz w:val="20"/>
                <w:szCs w:val="20"/>
              </w:rPr>
            </w:pPr>
          </w:p>
          <w:p w14:paraId="3D2704BD" w14:textId="633D9201" w:rsidR="005B0648" w:rsidRPr="005B0648" w:rsidRDefault="005B0648" w:rsidP="00CB3D8E">
            <w:pPr>
              <w:pStyle w:val="Prrafodelista"/>
              <w:numPr>
                <w:ilvl w:val="0"/>
                <w:numId w:val="42"/>
              </w:numPr>
              <w:jc w:val="both"/>
              <w:rPr>
                <w:rFonts w:asciiTheme="minorHAnsi" w:eastAsia="Arial Narrow" w:hAnsiTheme="minorHAnsi" w:cs="Arial"/>
                <w:color w:val="000000" w:themeColor="text1"/>
                <w:sz w:val="20"/>
                <w:szCs w:val="20"/>
              </w:rPr>
            </w:pPr>
            <w:r w:rsidRPr="005B0648">
              <w:rPr>
                <w:rFonts w:asciiTheme="minorHAnsi" w:eastAsia="Arial Narrow" w:hAnsiTheme="minorHAnsi" w:cs="Arial"/>
                <w:color w:val="000000" w:themeColor="text1"/>
                <w:sz w:val="20"/>
                <w:szCs w:val="20"/>
              </w:rPr>
              <w:t>La ausencia de documentación completa y de fácil acceso limita la capacidad de supervisión y control, incrementando el riesgo de reprocesos, inconsistencias y errores durante la ejecución de los proyectos.</w:t>
            </w:r>
          </w:p>
          <w:p w14:paraId="7FC98B68" w14:textId="77777777" w:rsidR="005B0648" w:rsidRDefault="005B0648" w:rsidP="00CB3D8E">
            <w:pPr>
              <w:pStyle w:val="Prrafodelista"/>
              <w:jc w:val="both"/>
              <w:rPr>
                <w:rFonts w:asciiTheme="minorHAnsi" w:eastAsia="Arial Narrow" w:hAnsiTheme="minorHAnsi" w:cs="Arial"/>
                <w:color w:val="000000" w:themeColor="text1"/>
                <w:sz w:val="20"/>
                <w:szCs w:val="20"/>
              </w:rPr>
            </w:pPr>
          </w:p>
          <w:p w14:paraId="1CED9A0F" w14:textId="71F6058C" w:rsidR="005B0648" w:rsidRPr="005B0648" w:rsidRDefault="005B0648" w:rsidP="00CB3D8E">
            <w:pPr>
              <w:pStyle w:val="Prrafodelista"/>
              <w:numPr>
                <w:ilvl w:val="0"/>
                <w:numId w:val="42"/>
              </w:numPr>
              <w:jc w:val="both"/>
              <w:rPr>
                <w:rFonts w:asciiTheme="minorHAnsi" w:eastAsia="Arial Narrow" w:hAnsiTheme="minorHAnsi" w:cs="Arial"/>
                <w:color w:val="000000" w:themeColor="text1"/>
                <w:sz w:val="20"/>
                <w:szCs w:val="20"/>
              </w:rPr>
            </w:pPr>
            <w:r w:rsidRPr="005B0648">
              <w:rPr>
                <w:rFonts w:asciiTheme="minorHAnsi" w:eastAsia="Arial Narrow" w:hAnsiTheme="minorHAnsi" w:cs="Arial"/>
                <w:color w:val="000000" w:themeColor="text1"/>
                <w:sz w:val="20"/>
                <w:szCs w:val="20"/>
              </w:rPr>
              <w:t>Aunque la identificación de riesgos se realiza en las etapas iniciales, el seguimiento y control posterior es insuficiente, lo que provoca que la materialización de esos riesgos derive en retrasos significativos.</w:t>
            </w:r>
          </w:p>
          <w:p w14:paraId="54E6BD34" w14:textId="77777777" w:rsidR="005B0648" w:rsidRDefault="005B0648" w:rsidP="00CB3D8E">
            <w:pPr>
              <w:pStyle w:val="Prrafodelista"/>
              <w:jc w:val="both"/>
              <w:rPr>
                <w:rFonts w:asciiTheme="minorHAnsi" w:eastAsia="Arial Narrow" w:hAnsiTheme="minorHAnsi" w:cs="Arial"/>
                <w:color w:val="000000" w:themeColor="text1"/>
                <w:sz w:val="20"/>
                <w:szCs w:val="20"/>
              </w:rPr>
            </w:pPr>
          </w:p>
          <w:p w14:paraId="623BEB4B" w14:textId="1C81C326" w:rsidR="005B0648" w:rsidRPr="005B0648" w:rsidRDefault="005B0648" w:rsidP="00CB3D8E">
            <w:pPr>
              <w:pStyle w:val="Prrafodelista"/>
              <w:numPr>
                <w:ilvl w:val="0"/>
                <w:numId w:val="42"/>
              </w:numPr>
              <w:jc w:val="both"/>
              <w:rPr>
                <w:rFonts w:asciiTheme="minorHAnsi" w:eastAsia="Arial Narrow" w:hAnsiTheme="minorHAnsi" w:cs="Arial"/>
                <w:color w:val="000000" w:themeColor="text1"/>
                <w:sz w:val="20"/>
                <w:szCs w:val="20"/>
              </w:rPr>
            </w:pPr>
            <w:r w:rsidRPr="005B0648">
              <w:rPr>
                <w:rFonts w:asciiTheme="minorHAnsi" w:eastAsia="Arial Narrow" w:hAnsiTheme="minorHAnsi" w:cs="Arial"/>
                <w:color w:val="000000" w:themeColor="text1"/>
                <w:sz w:val="20"/>
                <w:szCs w:val="20"/>
              </w:rPr>
              <w:t>No se está documentando de manera sistemática el conocimiento generado, tanto de los aciertos como de los errores, lo que impide construir una base sólida que apoye la mejora continua en la gestión de proyectos.</w:t>
            </w:r>
          </w:p>
          <w:p w14:paraId="5A7786FA" w14:textId="77777777" w:rsidR="005B0648" w:rsidRDefault="005B0648" w:rsidP="00CB3D8E">
            <w:pPr>
              <w:pStyle w:val="Prrafodelista"/>
              <w:jc w:val="both"/>
              <w:rPr>
                <w:rFonts w:asciiTheme="minorHAnsi" w:eastAsia="Arial Narrow" w:hAnsiTheme="minorHAnsi" w:cs="Arial"/>
                <w:color w:val="000000" w:themeColor="text1"/>
                <w:sz w:val="20"/>
                <w:szCs w:val="20"/>
              </w:rPr>
            </w:pPr>
          </w:p>
          <w:p w14:paraId="7BCFC4AF" w14:textId="6545AD88" w:rsidR="00A52DC9" w:rsidRDefault="005B0648" w:rsidP="00CB3D8E">
            <w:pPr>
              <w:pStyle w:val="Prrafodelista"/>
              <w:numPr>
                <w:ilvl w:val="0"/>
                <w:numId w:val="42"/>
              </w:numPr>
              <w:jc w:val="both"/>
              <w:rPr>
                <w:rFonts w:asciiTheme="minorHAnsi" w:eastAsia="Arial Narrow" w:hAnsiTheme="minorHAnsi" w:cs="Arial"/>
                <w:color w:val="000000" w:themeColor="text1"/>
                <w:sz w:val="20"/>
                <w:szCs w:val="20"/>
              </w:rPr>
            </w:pPr>
            <w:r w:rsidRPr="00CB3D8E">
              <w:rPr>
                <w:rFonts w:asciiTheme="minorHAnsi" w:eastAsia="Arial Narrow" w:hAnsiTheme="minorHAnsi" w:cs="Arial"/>
                <w:color w:val="000000" w:themeColor="text1"/>
                <w:sz w:val="20"/>
                <w:szCs w:val="20"/>
              </w:rPr>
              <w:t>Los planes de mejoramiento implementados hasta ahora se enfocan principalmente en corregir las situaciones detectadas, pero carecen de acciones preventivas y correctivas que eviten la recurrencia de problemas similares en el futuro.</w:t>
            </w:r>
          </w:p>
          <w:p w14:paraId="65E315E7" w14:textId="77777777" w:rsidR="00CB3D8E" w:rsidRPr="00CB3D8E" w:rsidRDefault="00CB3D8E" w:rsidP="00CB3D8E">
            <w:pPr>
              <w:pStyle w:val="Prrafodelista"/>
              <w:rPr>
                <w:rFonts w:asciiTheme="minorHAnsi" w:eastAsia="Arial Narrow" w:hAnsiTheme="minorHAnsi" w:cs="Arial"/>
                <w:color w:val="000000" w:themeColor="text1"/>
                <w:sz w:val="20"/>
                <w:szCs w:val="20"/>
              </w:rPr>
            </w:pPr>
          </w:p>
          <w:p w14:paraId="576214D0" w14:textId="42000B37" w:rsidR="00AA5CFE" w:rsidRPr="005B0648" w:rsidRDefault="00A52DC9" w:rsidP="006C3B9C">
            <w:pPr>
              <w:pStyle w:val="Prrafodelista"/>
              <w:numPr>
                <w:ilvl w:val="1"/>
                <w:numId w:val="38"/>
              </w:numPr>
              <w:spacing w:before="240" w:after="120"/>
              <w:ind w:left="1027"/>
              <w:jc w:val="both"/>
              <w:rPr>
                <w:rFonts w:asciiTheme="minorHAnsi" w:eastAsia="Arial Narrow" w:hAnsiTheme="minorHAnsi" w:cs="Arial"/>
                <w:b/>
                <w:bCs/>
                <w:color w:val="002465"/>
                <w:sz w:val="20"/>
                <w:szCs w:val="20"/>
              </w:rPr>
            </w:pPr>
            <w:r w:rsidRPr="005B0648">
              <w:rPr>
                <w:rFonts w:asciiTheme="minorHAnsi" w:eastAsia="Arial Narrow" w:hAnsiTheme="minorHAnsi" w:cs="Arial"/>
                <w:b/>
                <w:bCs/>
                <w:color w:val="002465"/>
                <w:sz w:val="20"/>
                <w:szCs w:val="20"/>
              </w:rPr>
              <w:t>Causalidad y recomendaciones</w:t>
            </w:r>
            <w:r w:rsidR="00EB4599" w:rsidRPr="005B0648">
              <w:rPr>
                <w:rFonts w:asciiTheme="minorHAnsi" w:eastAsia="Arial Narrow" w:hAnsiTheme="minorHAnsi" w:cs="Arial"/>
                <w:b/>
                <w:bCs/>
                <w:color w:val="002465"/>
                <w:sz w:val="20"/>
                <w:szCs w:val="20"/>
              </w:rPr>
              <w:t xml:space="preserve"> </w:t>
            </w:r>
          </w:p>
          <w:p w14:paraId="24376C38" w14:textId="5DC54D14" w:rsidR="005B0648" w:rsidRPr="005B0648" w:rsidRDefault="005B0648" w:rsidP="005B0648">
            <w:pPr>
              <w:jc w:val="both"/>
              <w:rPr>
                <w:rFonts w:asciiTheme="minorHAnsi" w:eastAsia="Arial Narrow" w:hAnsiTheme="minorHAnsi" w:cs="Arial"/>
                <w:color w:val="000000" w:themeColor="text1"/>
                <w:sz w:val="20"/>
                <w:szCs w:val="20"/>
              </w:rPr>
            </w:pPr>
            <w:r w:rsidRPr="005B0648">
              <w:rPr>
                <w:rFonts w:asciiTheme="minorHAnsi" w:eastAsia="Arial Narrow" w:hAnsiTheme="minorHAnsi" w:cs="Arial"/>
                <w:color w:val="000000" w:themeColor="text1"/>
                <w:sz w:val="20"/>
                <w:szCs w:val="20"/>
              </w:rPr>
              <w:t>En esta sección se plantean posibles causas para las situaciones evidenciadas en las oportunidades de mejora (</w:t>
            </w:r>
            <w:proofErr w:type="spellStart"/>
            <w:r w:rsidRPr="005B0648">
              <w:rPr>
                <w:rFonts w:asciiTheme="minorHAnsi" w:eastAsia="Arial Narrow" w:hAnsiTheme="minorHAnsi" w:cs="Arial"/>
                <w:color w:val="000000" w:themeColor="text1"/>
                <w:sz w:val="20"/>
                <w:szCs w:val="20"/>
              </w:rPr>
              <w:t>OM’s</w:t>
            </w:r>
            <w:proofErr w:type="spellEnd"/>
            <w:r w:rsidRPr="005B0648">
              <w:rPr>
                <w:rFonts w:asciiTheme="minorHAnsi" w:eastAsia="Arial Narrow" w:hAnsiTheme="minorHAnsi" w:cs="Arial"/>
                <w:color w:val="000000" w:themeColor="text1"/>
                <w:sz w:val="20"/>
                <w:szCs w:val="20"/>
              </w:rPr>
              <w:t>), basadas en la experiencia del equipo auditor y sujetas a validación por parte de la entidad.</w:t>
            </w:r>
            <w:r>
              <w:rPr>
                <w:rFonts w:asciiTheme="minorHAnsi" w:eastAsia="Arial Narrow" w:hAnsiTheme="minorHAnsi" w:cs="Arial"/>
                <w:color w:val="000000" w:themeColor="text1"/>
                <w:sz w:val="20"/>
                <w:szCs w:val="20"/>
              </w:rPr>
              <w:t xml:space="preserve"> En esta vía, se identifican como posibles causas: </w:t>
            </w:r>
          </w:p>
          <w:p w14:paraId="72739908" w14:textId="77777777" w:rsidR="00960C77" w:rsidRPr="00F20438" w:rsidRDefault="00960C77" w:rsidP="00A52DC9">
            <w:pPr>
              <w:jc w:val="both"/>
              <w:rPr>
                <w:rFonts w:asciiTheme="minorHAnsi" w:eastAsia="Arial Narrow" w:hAnsiTheme="minorHAnsi" w:cs="Arial"/>
                <w:color w:val="000000" w:themeColor="text1"/>
                <w:sz w:val="20"/>
                <w:szCs w:val="20"/>
              </w:rPr>
            </w:pPr>
          </w:p>
          <w:p w14:paraId="2F624F13" w14:textId="77777777" w:rsidR="00A52DC9" w:rsidRDefault="00A52DC9" w:rsidP="00CB3D8E">
            <w:pPr>
              <w:pStyle w:val="Prrafodelista"/>
              <w:numPr>
                <w:ilvl w:val="0"/>
                <w:numId w:val="40"/>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lastRenderedPageBreak/>
              <w:t>Falta de Planificación y Contingencia: La ausencia de planes de contingencia adecuados y la planificación insuficiente son causas principales de los retrasos en los proyectos.</w:t>
            </w:r>
          </w:p>
          <w:p w14:paraId="2B082578" w14:textId="77777777" w:rsidR="00CB3D8E" w:rsidRPr="00F20438" w:rsidRDefault="00CB3D8E" w:rsidP="00CB3D8E">
            <w:pPr>
              <w:pStyle w:val="Prrafodelista"/>
              <w:spacing w:after="160"/>
              <w:jc w:val="both"/>
              <w:rPr>
                <w:rFonts w:asciiTheme="minorHAnsi" w:eastAsia="Arial Narrow" w:hAnsiTheme="minorHAnsi" w:cs="Arial"/>
                <w:color w:val="000000" w:themeColor="text1"/>
                <w:sz w:val="20"/>
                <w:szCs w:val="20"/>
              </w:rPr>
            </w:pPr>
          </w:p>
          <w:p w14:paraId="69805687" w14:textId="21461B8A" w:rsidR="00A52DC9" w:rsidRDefault="00A52DC9" w:rsidP="00CB3D8E">
            <w:pPr>
              <w:pStyle w:val="Prrafodelista"/>
              <w:numPr>
                <w:ilvl w:val="0"/>
                <w:numId w:val="40"/>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Deficiencias en la Gestión de la Calidad: La falta de planes de calidad y controles adecuados contribuye a problemas en los entregables del proyecto, como incumplimiento de normatividad técnica aplicable, discrepancias entre lo aprobado en planos y lo ejecutado, y acabados deficientes que impactan a los ben</w:t>
            </w:r>
            <w:r w:rsidR="00960C77" w:rsidRPr="00F20438">
              <w:rPr>
                <w:rFonts w:asciiTheme="minorHAnsi" w:eastAsia="Arial Narrow" w:hAnsiTheme="minorHAnsi" w:cs="Arial"/>
                <w:color w:val="000000" w:themeColor="text1"/>
                <w:sz w:val="20"/>
                <w:szCs w:val="20"/>
              </w:rPr>
              <w:t>e</w:t>
            </w:r>
            <w:r w:rsidRPr="00F20438">
              <w:rPr>
                <w:rFonts w:asciiTheme="minorHAnsi" w:eastAsia="Arial Narrow" w:hAnsiTheme="minorHAnsi" w:cs="Arial"/>
                <w:color w:val="000000" w:themeColor="text1"/>
                <w:sz w:val="20"/>
                <w:szCs w:val="20"/>
              </w:rPr>
              <w:t>ficiarios y puede afectar la reputación de la entidad.</w:t>
            </w:r>
          </w:p>
          <w:p w14:paraId="7D4C9681" w14:textId="77777777" w:rsidR="00CB3D8E" w:rsidRPr="00CB3D8E" w:rsidRDefault="00CB3D8E" w:rsidP="00CB3D8E">
            <w:pPr>
              <w:pStyle w:val="Prrafodelista"/>
              <w:rPr>
                <w:rFonts w:asciiTheme="minorHAnsi" w:eastAsia="Arial Narrow" w:hAnsiTheme="minorHAnsi" w:cs="Arial"/>
                <w:color w:val="000000" w:themeColor="text1"/>
                <w:sz w:val="20"/>
                <w:szCs w:val="20"/>
              </w:rPr>
            </w:pPr>
          </w:p>
          <w:p w14:paraId="7B8475F2" w14:textId="77777777" w:rsidR="00A52DC9" w:rsidRPr="00F20438" w:rsidRDefault="00A52DC9" w:rsidP="00CB3D8E">
            <w:pPr>
              <w:pStyle w:val="Prrafodelista"/>
              <w:numPr>
                <w:ilvl w:val="0"/>
                <w:numId w:val="40"/>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Ausencia de una cultura de mejoramiento continuo en los equipos de trabajo y sus contratistas.</w:t>
            </w:r>
          </w:p>
          <w:p w14:paraId="5B420F4C" w14:textId="26B8794A" w:rsidR="00A52DC9" w:rsidRDefault="005B0648" w:rsidP="00CB3D8E">
            <w:pPr>
              <w:jc w:val="both"/>
              <w:rPr>
                <w:rFonts w:asciiTheme="minorHAnsi" w:eastAsia="Arial Narrow" w:hAnsiTheme="minorHAnsi" w:cs="Arial"/>
                <w:color w:val="000000" w:themeColor="text1"/>
                <w:sz w:val="20"/>
                <w:szCs w:val="20"/>
              </w:rPr>
            </w:pPr>
            <w:r>
              <w:rPr>
                <w:rFonts w:asciiTheme="minorHAnsi" w:eastAsia="Arial Narrow" w:hAnsiTheme="minorHAnsi" w:cs="Arial"/>
                <w:color w:val="000000" w:themeColor="text1"/>
                <w:sz w:val="20"/>
                <w:szCs w:val="20"/>
              </w:rPr>
              <w:t xml:space="preserve">Así mismo, se plantean las siguientes recomendaciones: </w:t>
            </w:r>
          </w:p>
          <w:p w14:paraId="5B906AF4" w14:textId="77777777" w:rsidR="005B0648" w:rsidRPr="00F20438" w:rsidRDefault="005B0648" w:rsidP="00CB3D8E">
            <w:pPr>
              <w:jc w:val="both"/>
              <w:rPr>
                <w:rFonts w:asciiTheme="minorHAnsi" w:eastAsia="Arial Narrow" w:hAnsiTheme="minorHAnsi" w:cs="Arial"/>
                <w:color w:val="000000" w:themeColor="text1"/>
                <w:sz w:val="20"/>
                <w:szCs w:val="20"/>
              </w:rPr>
            </w:pPr>
          </w:p>
          <w:p w14:paraId="1051C8A7" w14:textId="77777777" w:rsidR="00A52DC9"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Fortalecer la Planificación de Proyectos: Implementar una planificación más rigurosa que incluya planes de contingencia detallados para mitigar los riesgos de retrasos y problemas de calidad.</w:t>
            </w:r>
          </w:p>
          <w:p w14:paraId="33F85B68" w14:textId="77777777" w:rsidR="005B0648" w:rsidRPr="00F20438" w:rsidRDefault="005B0648" w:rsidP="00CB3D8E">
            <w:pPr>
              <w:pStyle w:val="Prrafodelista"/>
              <w:spacing w:after="160"/>
              <w:jc w:val="both"/>
              <w:rPr>
                <w:rFonts w:asciiTheme="minorHAnsi" w:eastAsia="Arial Narrow" w:hAnsiTheme="minorHAnsi" w:cs="Arial"/>
                <w:color w:val="000000" w:themeColor="text1"/>
                <w:sz w:val="20"/>
                <w:szCs w:val="20"/>
              </w:rPr>
            </w:pPr>
          </w:p>
          <w:p w14:paraId="2C8B73AE" w14:textId="77777777" w:rsidR="00A52DC9"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Mejorar la coordinación interinstitucional: establecer mecanismos de coordinación más efectivos entre las instituciones involucradas para asegurar la disponibilidad oportuna de servicios públicos y otros recursos necesarios.</w:t>
            </w:r>
          </w:p>
          <w:p w14:paraId="6AF83667" w14:textId="77777777" w:rsidR="005B0648" w:rsidRPr="00F20438" w:rsidRDefault="005B0648" w:rsidP="00CB3D8E">
            <w:pPr>
              <w:pStyle w:val="Prrafodelista"/>
              <w:spacing w:after="160"/>
              <w:jc w:val="both"/>
              <w:rPr>
                <w:rFonts w:asciiTheme="minorHAnsi" w:eastAsia="Arial Narrow" w:hAnsiTheme="minorHAnsi" w:cs="Arial"/>
                <w:color w:val="000000" w:themeColor="text1"/>
                <w:sz w:val="20"/>
                <w:szCs w:val="20"/>
              </w:rPr>
            </w:pPr>
          </w:p>
          <w:p w14:paraId="7CE198D9" w14:textId="77777777" w:rsidR="00A52DC9"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Reforzar los controles para la calidad y los riesgos: Desarrollar e implementar planes de calidad y gestión de riesgos que incluyan auditorías regulares y revisiones de control para asegurar la conformidad con los estándares establecidos.</w:t>
            </w:r>
          </w:p>
          <w:p w14:paraId="04A6E792" w14:textId="77777777" w:rsidR="005B0648" w:rsidRPr="005B0648" w:rsidRDefault="005B0648" w:rsidP="00CB3D8E">
            <w:pPr>
              <w:pStyle w:val="Prrafodelista"/>
              <w:rPr>
                <w:rFonts w:asciiTheme="minorHAnsi" w:eastAsia="Arial Narrow" w:hAnsiTheme="minorHAnsi" w:cs="Arial"/>
                <w:color w:val="000000" w:themeColor="text1"/>
                <w:sz w:val="20"/>
                <w:szCs w:val="20"/>
              </w:rPr>
            </w:pPr>
          </w:p>
          <w:p w14:paraId="75B1B756" w14:textId="09AA7919" w:rsidR="00A52DC9"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Capacitación y desarrollo de competencias: Proporcionar capacitación continua a los equipos de t</w:t>
            </w:r>
            <w:r w:rsidR="006441A9" w:rsidRPr="00F20438">
              <w:rPr>
                <w:rFonts w:asciiTheme="minorHAnsi" w:eastAsia="Arial Narrow" w:hAnsiTheme="minorHAnsi" w:cs="Arial"/>
                <w:color w:val="000000" w:themeColor="text1"/>
                <w:sz w:val="20"/>
                <w:szCs w:val="20"/>
              </w:rPr>
              <w:t>r</w:t>
            </w:r>
            <w:r w:rsidRPr="00F20438">
              <w:rPr>
                <w:rFonts w:asciiTheme="minorHAnsi" w:eastAsia="Arial Narrow" w:hAnsiTheme="minorHAnsi" w:cs="Arial"/>
                <w:color w:val="000000" w:themeColor="text1"/>
                <w:sz w:val="20"/>
                <w:szCs w:val="20"/>
              </w:rPr>
              <w:t>abajo en áreas clave como la gestión de alcance, gestión de riesgos, control de calidad, análisis de causa raíz, y uso de sistemas de información para la gestión de proyectos. Esto asegurará que el personal esté bien equipado para manejar los desafíos del proyecto.</w:t>
            </w:r>
          </w:p>
          <w:p w14:paraId="3085E5AA" w14:textId="77777777" w:rsidR="005B0648" w:rsidRPr="005B0648" w:rsidRDefault="005B0648" w:rsidP="00CB3D8E">
            <w:pPr>
              <w:pStyle w:val="Prrafodelista"/>
              <w:rPr>
                <w:rFonts w:asciiTheme="minorHAnsi" w:eastAsia="Arial Narrow" w:hAnsiTheme="minorHAnsi" w:cs="Arial"/>
                <w:color w:val="000000" w:themeColor="text1"/>
                <w:sz w:val="20"/>
                <w:szCs w:val="20"/>
              </w:rPr>
            </w:pPr>
          </w:p>
          <w:p w14:paraId="3DD35DD8" w14:textId="77777777" w:rsidR="00A52DC9"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Considerar mejorar el sistema de gestión documental: complementar el sistema de gestión documental centralizado que se tiene (DATAFONDO); así como la plataforma de Gestión Social, para que permitan un acceso amigable y rápido a toda la documentación de los proyectos que se dispone, sin comprometer la seguridad de la información.  Esto mejoraría la transparencia y facilitará la supervisión y auditoría a los proyectos.</w:t>
            </w:r>
          </w:p>
          <w:p w14:paraId="32BB238D" w14:textId="77777777" w:rsidR="005B0648" w:rsidRPr="005B0648" w:rsidRDefault="005B0648" w:rsidP="00CB3D8E">
            <w:pPr>
              <w:pStyle w:val="Prrafodelista"/>
              <w:rPr>
                <w:rFonts w:asciiTheme="minorHAnsi" w:eastAsia="Arial Narrow" w:hAnsiTheme="minorHAnsi" w:cs="Arial"/>
                <w:color w:val="000000" w:themeColor="text1"/>
                <w:sz w:val="20"/>
                <w:szCs w:val="20"/>
              </w:rPr>
            </w:pPr>
          </w:p>
          <w:p w14:paraId="70C40E31" w14:textId="723440B2" w:rsidR="00A52DC9"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Mejorar la gestión del conocimiento: Recopilar prácticas exitosas y fallidas (lecciones aprendidas) que han permitido a la entidad tener proyectos exitosos, para darlas a conocer a toda la entidad y así facilitar la mejora en la gestión de los proyectos.</w:t>
            </w:r>
          </w:p>
          <w:p w14:paraId="523FB6F9" w14:textId="77777777" w:rsidR="005B0648" w:rsidRPr="005B0648" w:rsidRDefault="005B0648" w:rsidP="00CB3D8E">
            <w:pPr>
              <w:pStyle w:val="Prrafodelista"/>
              <w:rPr>
                <w:rFonts w:asciiTheme="minorHAnsi" w:eastAsia="Arial Narrow" w:hAnsiTheme="minorHAnsi" w:cs="Arial"/>
                <w:color w:val="000000" w:themeColor="text1"/>
                <w:sz w:val="20"/>
                <w:szCs w:val="20"/>
              </w:rPr>
            </w:pPr>
          </w:p>
          <w:p w14:paraId="2C616F21" w14:textId="6BF46888" w:rsidR="00A52DC9"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Para proyectos desarrollados en zonas con orden público críticamente alterado, considera</w:t>
            </w:r>
            <w:r w:rsidR="006441A9" w:rsidRPr="00F20438">
              <w:rPr>
                <w:rFonts w:asciiTheme="minorHAnsi" w:eastAsia="Arial Narrow" w:hAnsiTheme="minorHAnsi" w:cs="Arial"/>
                <w:color w:val="000000" w:themeColor="text1"/>
                <w:sz w:val="20"/>
                <w:szCs w:val="20"/>
              </w:rPr>
              <w:t>r</w:t>
            </w:r>
            <w:r w:rsidRPr="00F20438">
              <w:rPr>
                <w:rFonts w:asciiTheme="minorHAnsi" w:eastAsia="Arial Narrow" w:hAnsiTheme="minorHAnsi" w:cs="Arial"/>
                <w:color w:val="000000" w:themeColor="text1"/>
                <w:sz w:val="20"/>
                <w:szCs w:val="20"/>
              </w:rPr>
              <w:t xml:space="preserve"> el uso de nuevas estrategias, como por ejemplo la contratación de algunos proyectos con batallones de ingenieros.</w:t>
            </w:r>
          </w:p>
          <w:p w14:paraId="38C2C2CC" w14:textId="77777777" w:rsidR="005B0648" w:rsidRPr="005B0648" w:rsidRDefault="005B0648" w:rsidP="00CB3D8E">
            <w:pPr>
              <w:pStyle w:val="Prrafodelista"/>
              <w:rPr>
                <w:rFonts w:asciiTheme="minorHAnsi" w:eastAsia="Arial Narrow" w:hAnsiTheme="minorHAnsi" w:cs="Arial"/>
                <w:color w:val="000000" w:themeColor="text1"/>
                <w:sz w:val="20"/>
                <w:szCs w:val="20"/>
              </w:rPr>
            </w:pPr>
          </w:p>
          <w:p w14:paraId="30F10C3F" w14:textId="7DD6B431" w:rsidR="00A52DC9"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 xml:space="preserve">Considerar implementar la evaluación de contratistas según su desempeño, </w:t>
            </w:r>
            <w:r w:rsidR="005E7109" w:rsidRPr="00F20438">
              <w:rPr>
                <w:rFonts w:asciiTheme="minorHAnsi" w:eastAsia="Arial Narrow" w:hAnsiTheme="minorHAnsi" w:cs="Arial"/>
                <w:color w:val="000000" w:themeColor="text1"/>
                <w:sz w:val="20"/>
                <w:szCs w:val="20"/>
              </w:rPr>
              <w:t>incluyendo</w:t>
            </w:r>
            <w:r w:rsidRPr="00F20438">
              <w:rPr>
                <w:rFonts w:asciiTheme="minorHAnsi" w:eastAsia="Arial Narrow" w:hAnsiTheme="minorHAnsi" w:cs="Arial"/>
                <w:color w:val="000000" w:themeColor="text1"/>
                <w:sz w:val="20"/>
                <w:szCs w:val="20"/>
              </w:rPr>
              <w:t xml:space="preserve"> su participación en Consorcios y uniones temporales.</w:t>
            </w:r>
          </w:p>
          <w:p w14:paraId="563399E9" w14:textId="77777777" w:rsidR="005B0648" w:rsidRPr="005B0648" w:rsidRDefault="005B0648" w:rsidP="00CB3D8E">
            <w:pPr>
              <w:pStyle w:val="Prrafodelista"/>
              <w:rPr>
                <w:rFonts w:asciiTheme="minorHAnsi" w:eastAsia="Arial Narrow" w:hAnsiTheme="minorHAnsi" w:cs="Arial"/>
                <w:color w:val="000000" w:themeColor="text1"/>
                <w:sz w:val="20"/>
                <w:szCs w:val="20"/>
              </w:rPr>
            </w:pPr>
          </w:p>
          <w:p w14:paraId="2A6F9CC3" w14:textId="10C7BD42" w:rsidR="00A52DC9"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lastRenderedPageBreak/>
              <w:t xml:space="preserve">Reforzar la gestión de las partes interesadas en los proyectos </w:t>
            </w:r>
            <w:r w:rsidR="005E7109" w:rsidRPr="00F20438">
              <w:rPr>
                <w:rFonts w:asciiTheme="minorHAnsi" w:eastAsia="Arial Narrow" w:hAnsiTheme="minorHAnsi" w:cs="Arial"/>
                <w:color w:val="000000" w:themeColor="text1"/>
                <w:sz w:val="20"/>
                <w:szCs w:val="20"/>
              </w:rPr>
              <w:t>(entes</w:t>
            </w:r>
            <w:r w:rsidRPr="00F20438">
              <w:rPr>
                <w:rFonts w:asciiTheme="minorHAnsi" w:eastAsia="Arial Narrow" w:hAnsiTheme="minorHAnsi" w:cs="Arial"/>
                <w:color w:val="000000" w:themeColor="text1"/>
                <w:sz w:val="20"/>
                <w:szCs w:val="20"/>
              </w:rPr>
              <w:t xml:space="preserve"> territoriales, instituciones con convenio, ministerios, etc.).</w:t>
            </w:r>
          </w:p>
          <w:p w14:paraId="1CB4A23D" w14:textId="77777777" w:rsidR="005B0648" w:rsidRPr="005B0648" w:rsidRDefault="005B0648" w:rsidP="00CB3D8E">
            <w:pPr>
              <w:pStyle w:val="Prrafodelista"/>
              <w:rPr>
                <w:rFonts w:asciiTheme="minorHAnsi" w:eastAsia="Arial Narrow" w:hAnsiTheme="minorHAnsi" w:cs="Arial"/>
                <w:color w:val="000000" w:themeColor="text1"/>
                <w:sz w:val="20"/>
                <w:szCs w:val="20"/>
              </w:rPr>
            </w:pPr>
          </w:p>
          <w:p w14:paraId="16DDB072" w14:textId="77777777" w:rsidR="00A52DC9" w:rsidRPr="00F20438" w:rsidRDefault="00A52DC9" w:rsidP="00CB3D8E">
            <w:pPr>
              <w:pStyle w:val="Prrafodelista"/>
              <w:numPr>
                <w:ilvl w:val="0"/>
                <w:numId w:val="41"/>
              </w:numPr>
              <w:spacing w:after="160"/>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Revisar la identificación de riesgo de atrasos en proyectos por demoras en los trámites de servicios públicos y considerar la conveniencia de establecer una guía (recomendaciones de la entidad) para el adecuado trámite de los servicios públicos; y darla a conocer a los contratistas de obra.</w:t>
            </w:r>
          </w:p>
          <w:p w14:paraId="51C6C374" w14:textId="3172CFCE" w:rsidR="00A52DC9" w:rsidRPr="00F20438" w:rsidRDefault="00A52DC9" w:rsidP="00CB3D8E">
            <w:pPr>
              <w:jc w:val="both"/>
              <w:rPr>
                <w:rFonts w:asciiTheme="minorHAnsi" w:eastAsia="Arial Narrow" w:hAnsiTheme="minorHAnsi" w:cs="Arial"/>
                <w:color w:val="000000" w:themeColor="text1"/>
                <w:sz w:val="20"/>
                <w:szCs w:val="20"/>
              </w:rPr>
            </w:pPr>
            <w:r w:rsidRPr="00F20438">
              <w:rPr>
                <w:rFonts w:asciiTheme="minorHAnsi" w:eastAsia="Arial Narrow" w:hAnsiTheme="minorHAnsi" w:cs="Arial"/>
                <w:color w:val="000000" w:themeColor="text1"/>
                <w:sz w:val="20"/>
                <w:szCs w:val="20"/>
              </w:rPr>
              <w:t>En resumen, abordar las oportunidades de mejora identificadas con un enfoque integral que incluya la mejora de la planificación, la coordinación interinstitucional, la gestión de la documentación y la implementación de controles de calidad y riesgos. Estas acciones no s</w:t>
            </w:r>
            <w:r w:rsidR="006441A9" w:rsidRPr="00F20438">
              <w:rPr>
                <w:rFonts w:asciiTheme="minorHAnsi" w:eastAsia="Arial Narrow" w:hAnsiTheme="minorHAnsi" w:cs="Arial"/>
                <w:color w:val="000000" w:themeColor="text1"/>
                <w:sz w:val="20"/>
                <w:szCs w:val="20"/>
              </w:rPr>
              <w:t>ó</w:t>
            </w:r>
            <w:r w:rsidRPr="00F20438">
              <w:rPr>
                <w:rFonts w:asciiTheme="minorHAnsi" w:eastAsia="Arial Narrow" w:hAnsiTheme="minorHAnsi" w:cs="Arial"/>
                <w:color w:val="000000" w:themeColor="text1"/>
                <w:sz w:val="20"/>
                <w:szCs w:val="20"/>
              </w:rPr>
              <w:t>lo mejorarán la eficiencia y efectividad de los proyectos, sino que también aumentarían las probabilidades de que los resultados cumplan con los objetivos y estándares esperados.</w:t>
            </w:r>
          </w:p>
          <w:p w14:paraId="75A7E2CD" w14:textId="524965B9" w:rsidR="00960C77" w:rsidRPr="00F20438" w:rsidRDefault="005B0648" w:rsidP="006C3B9C">
            <w:pPr>
              <w:pStyle w:val="Prrafodelista"/>
              <w:numPr>
                <w:ilvl w:val="0"/>
                <w:numId w:val="16"/>
              </w:numPr>
              <w:spacing w:before="240" w:after="240"/>
              <w:jc w:val="both"/>
              <w:rPr>
                <w:rFonts w:asciiTheme="minorHAnsi" w:eastAsia="Arial Narrow" w:hAnsiTheme="minorHAnsi" w:cs="Arial"/>
                <w:b/>
                <w:bCs/>
                <w:color w:val="002465"/>
                <w:sz w:val="20"/>
                <w:szCs w:val="20"/>
              </w:rPr>
            </w:pPr>
            <w:r w:rsidRPr="00F20438">
              <w:rPr>
                <w:rFonts w:asciiTheme="minorHAnsi" w:eastAsia="Arial Narrow" w:hAnsiTheme="minorHAnsi" w:cs="Arial"/>
                <w:b/>
                <w:bCs/>
                <w:color w:val="002465"/>
                <w:sz w:val="20"/>
                <w:szCs w:val="20"/>
              </w:rPr>
              <w:t>COMPONENTE DE TECNOLOGÍA DE LA INFORMACIÓN</w:t>
            </w:r>
          </w:p>
          <w:p w14:paraId="2930AEEE" w14:textId="77777777" w:rsidR="005B0648" w:rsidRDefault="005B0648" w:rsidP="005B0648">
            <w:pPr>
              <w:pStyle w:val="Prrafodelista"/>
              <w:spacing w:before="240" w:after="120"/>
              <w:ind w:left="1440"/>
              <w:jc w:val="both"/>
              <w:rPr>
                <w:rFonts w:asciiTheme="minorHAnsi" w:eastAsia="Arial Narrow" w:hAnsiTheme="minorHAnsi" w:cs="Arial"/>
                <w:b/>
                <w:bCs/>
                <w:color w:val="002465"/>
                <w:sz w:val="20"/>
                <w:szCs w:val="20"/>
              </w:rPr>
            </w:pPr>
          </w:p>
          <w:p w14:paraId="17069357" w14:textId="1B14D87A" w:rsidR="008824DC" w:rsidRPr="006C3B9C" w:rsidRDefault="008824DC" w:rsidP="006C3B9C">
            <w:pPr>
              <w:pStyle w:val="Prrafodelista"/>
              <w:numPr>
                <w:ilvl w:val="1"/>
                <w:numId w:val="43"/>
              </w:numPr>
              <w:spacing w:before="240" w:after="120"/>
              <w:ind w:left="1309"/>
              <w:jc w:val="both"/>
              <w:rPr>
                <w:rFonts w:asciiTheme="minorHAnsi" w:eastAsia="Arial Narrow" w:hAnsiTheme="minorHAnsi" w:cs="Arial"/>
                <w:b/>
                <w:bCs/>
                <w:color w:val="002465"/>
                <w:sz w:val="20"/>
                <w:szCs w:val="20"/>
              </w:rPr>
            </w:pPr>
            <w:r w:rsidRPr="006C3B9C">
              <w:rPr>
                <w:rFonts w:asciiTheme="minorHAnsi" w:eastAsia="Arial Narrow" w:hAnsiTheme="minorHAnsi" w:cs="Arial"/>
                <w:b/>
                <w:bCs/>
                <w:color w:val="002465"/>
                <w:sz w:val="20"/>
                <w:szCs w:val="20"/>
              </w:rPr>
              <w:t xml:space="preserve">Situaciones Identificadas </w:t>
            </w:r>
          </w:p>
          <w:p w14:paraId="3A137826" w14:textId="4128A8A8" w:rsidR="008824DC" w:rsidRDefault="008824DC" w:rsidP="00CB3D8E">
            <w:pPr>
              <w:jc w:val="both"/>
              <w:rPr>
                <w:rFonts w:asciiTheme="minorHAnsi" w:hAnsiTheme="minorHAnsi" w:cs="Arial"/>
                <w:sz w:val="20"/>
                <w:szCs w:val="20"/>
                <w:lang w:val="es-MX"/>
              </w:rPr>
            </w:pPr>
            <w:r w:rsidRPr="00F20438">
              <w:rPr>
                <w:rFonts w:asciiTheme="minorHAnsi" w:hAnsiTheme="minorHAnsi" w:cs="Arial"/>
                <w:sz w:val="20"/>
                <w:szCs w:val="20"/>
                <w:lang w:val="es-MX"/>
              </w:rPr>
              <w:t>A</w:t>
            </w:r>
            <w:r w:rsidR="005B0648">
              <w:rPr>
                <w:rFonts w:asciiTheme="minorHAnsi" w:hAnsiTheme="minorHAnsi" w:cs="Arial"/>
                <w:sz w:val="20"/>
                <w:szCs w:val="20"/>
                <w:lang w:val="es-MX"/>
              </w:rPr>
              <w:t xml:space="preserve"> partir de la auditoría realizada </w:t>
            </w:r>
            <w:r w:rsidR="00416EF4">
              <w:rPr>
                <w:rFonts w:asciiTheme="minorHAnsi" w:hAnsiTheme="minorHAnsi" w:cs="Arial"/>
                <w:sz w:val="20"/>
                <w:szCs w:val="20"/>
                <w:lang w:val="es-MX"/>
              </w:rPr>
              <w:t xml:space="preserve">a los sistemas de </w:t>
            </w:r>
            <w:r w:rsidRPr="00F20438">
              <w:rPr>
                <w:rFonts w:asciiTheme="minorHAnsi" w:hAnsiTheme="minorHAnsi" w:cs="Arial"/>
                <w:sz w:val="20"/>
                <w:szCs w:val="20"/>
                <w:lang w:val="es-MX"/>
              </w:rPr>
              <w:t xml:space="preserve"> </w:t>
            </w:r>
            <w:r w:rsidR="00416EF4" w:rsidRPr="00F20438">
              <w:rPr>
                <w:rFonts w:asciiTheme="minorHAnsi" w:hAnsiTheme="minorHAnsi" w:cs="Arial"/>
                <w:sz w:val="20"/>
                <w:szCs w:val="20"/>
                <w:lang w:val="es-MX"/>
              </w:rPr>
              <w:t>información SIFA, PSA y DATAFONDO</w:t>
            </w:r>
            <w:r w:rsidR="00416EF4">
              <w:rPr>
                <w:rFonts w:asciiTheme="minorHAnsi" w:hAnsiTheme="minorHAnsi" w:cs="Arial"/>
                <w:sz w:val="20"/>
                <w:szCs w:val="20"/>
                <w:lang w:val="es-MX"/>
              </w:rPr>
              <w:t>, se identificaron las siguientes oportunidades de mejora</w:t>
            </w:r>
            <w:r w:rsidRPr="00F20438">
              <w:rPr>
                <w:rFonts w:asciiTheme="minorHAnsi" w:hAnsiTheme="minorHAnsi" w:cs="Arial"/>
                <w:sz w:val="20"/>
                <w:szCs w:val="20"/>
                <w:lang w:val="es-MX"/>
              </w:rPr>
              <w:t xml:space="preserve"> organizadas por dominio según el Anexo A de la ISO 27001</w:t>
            </w:r>
            <w:r w:rsidR="00416EF4">
              <w:rPr>
                <w:rFonts w:asciiTheme="minorHAnsi" w:hAnsiTheme="minorHAnsi" w:cs="Arial"/>
                <w:sz w:val="20"/>
                <w:szCs w:val="20"/>
                <w:lang w:val="es-MX"/>
              </w:rPr>
              <w:t>, así como los respectivos riesgos</w:t>
            </w:r>
            <w:r w:rsidRPr="00F20438">
              <w:rPr>
                <w:rFonts w:asciiTheme="minorHAnsi" w:hAnsiTheme="minorHAnsi" w:cs="Arial"/>
                <w:sz w:val="20"/>
                <w:szCs w:val="20"/>
                <w:lang w:val="es-MX"/>
              </w:rPr>
              <w:t>:</w:t>
            </w:r>
          </w:p>
          <w:p w14:paraId="357B91B3" w14:textId="77777777" w:rsidR="006C3B9C" w:rsidRDefault="006C3B9C" w:rsidP="00416EF4">
            <w:pPr>
              <w:jc w:val="both"/>
              <w:rPr>
                <w:rFonts w:asciiTheme="minorHAnsi" w:hAnsiTheme="minorHAnsi" w:cs="Arial"/>
                <w:sz w:val="20"/>
                <w:szCs w:val="20"/>
                <w:lang w:val="es-MX"/>
              </w:rPr>
            </w:pPr>
          </w:p>
          <w:tbl>
            <w:tblPr>
              <w:tblW w:w="4589" w:type="pct"/>
              <w:jc w:val="center"/>
              <w:tblCellMar>
                <w:left w:w="0" w:type="dxa"/>
                <w:right w:w="0" w:type="dxa"/>
              </w:tblCellMar>
              <w:tblLook w:val="0600" w:firstRow="0" w:lastRow="0" w:firstColumn="0" w:lastColumn="0" w:noHBand="1" w:noVBand="1"/>
            </w:tblPr>
            <w:tblGrid>
              <w:gridCol w:w="1820"/>
              <w:gridCol w:w="6945"/>
            </w:tblGrid>
            <w:tr w:rsidR="008824DC" w:rsidRPr="00CB3D8E" w14:paraId="0779F4C8" w14:textId="77777777" w:rsidTr="00CB3D8E">
              <w:trPr>
                <w:cantSplit/>
                <w:trHeight w:val="94"/>
                <w:tblHeader/>
                <w:jc w:val="center"/>
              </w:trPr>
              <w:tc>
                <w:tcPr>
                  <w:tcW w:w="1038" w:type="pct"/>
                  <w:tcBorders>
                    <w:top w:val="single" w:sz="4" w:space="0" w:color="000000"/>
                    <w:left w:val="single" w:sz="8" w:space="0" w:color="000000"/>
                    <w:bottom w:val="single" w:sz="4" w:space="0" w:color="000000"/>
                    <w:right w:val="single" w:sz="4" w:space="0" w:color="000000"/>
                  </w:tcBorders>
                  <w:shd w:val="clear" w:color="auto" w:fill="153D63" w:themeFill="text2" w:themeFillTint="E6"/>
                  <w:tcMar>
                    <w:top w:w="72" w:type="dxa"/>
                    <w:left w:w="144" w:type="dxa"/>
                    <w:bottom w:w="72" w:type="dxa"/>
                    <w:right w:w="144" w:type="dxa"/>
                  </w:tcMar>
                  <w:vAlign w:val="center"/>
                  <w:hideMark/>
                </w:tcPr>
                <w:p w14:paraId="57332710" w14:textId="0FA7C403" w:rsidR="008824DC" w:rsidRPr="00CB3D8E" w:rsidRDefault="00416EF4" w:rsidP="00416EF4">
                  <w:pPr>
                    <w:jc w:val="center"/>
                    <w:rPr>
                      <w:rFonts w:asciiTheme="minorHAnsi" w:hAnsiTheme="minorHAnsi" w:cs="Arial"/>
                      <w:sz w:val="18"/>
                      <w:szCs w:val="18"/>
                    </w:rPr>
                  </w:pPr>
                  <w:r w:rsidRPr="00CB3D8E">
                    <w:rPr>
                      <w:rFonts w:asciiTheme="minorHAnsi" w:hAnsiTheme="minorHAnsi" w:cs="Arial"/>
                      <w:b/>
                      <w:bCs/>
                      <w:sz w:val="18"/>
                      <w:szCs w:val="18"/>
                    </w:rPr>
                    <w:t xml:space="preserve">Oportunidades de mejor por </w:t>
                  </w:r>
                  <w:r w:rsidR="008824DC" w:rsidRPr="00CB3D8E">
                    <w:rPr>
                      <w:rFonts w:asciiTheme="minorHAnsi" w:hAnsiTheme="minorHAnsi" w:cs="Arial"/>
                      <w:b/>
                      <w:bCs/>
                      <w:sz w:val="18"/>
                      <w:szCs w:val="18"/>
                    </w:rPr>
                    <w:t>Dominio</w:t>
                  </w:r>
                </w:p>
              </w:tc>
              <w:tc>
                <w:tcPr>
                  <w:tcW w:w="3962" w:type="pct"/>
                  <w:tcBorders>
                    <w:top w:val="single" w:sz="4" w:space="0" w:color="000000"/>
                    <w:left w:val="single" w:sz="4" w:space="0" w:color="000000"/>
                    <w:bottom w:val="single" w:sz="4" w:space="0" w:color="000000"/>
                    <w:right w:val="single" w:sz="4" w:space="0" w:color="000000"/>
                  </w:tcBorders>
                  <w:shd w:val="clear" w:color="auto" w:fill="153D63" w:themeFill="text2" w:themeFillTint="E6"/>
                  <w:tcMar>
                    <w:top w:w="72" w:type="dxa"/>
                    <w:left w:w="144" w:type="dxa"/>
                    <w:bottom w:w="72" w:type="dxa"/>
                    <w:right w:w="144" w:type="dxa"/>
                  </w:tcMar>
                  <w:vAlign w:val="center"/>
                  <w:hideMark/>
                </w:tcPr>
                <w:p w14:paraId="606E6DDF"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Riesgo</w:t>
                  </w:r>
                </w:p>
              </w:tc>
            </w:tr>
            <w:tr w:rsidR="008824DC" w:rsidRPr="00CB3D8E" w14:paraId="34C6BEFB" w14:textId="77777777" w:rsidTr="00CB3D8E">
              <w:trPr>
                <w:cantSplit/>
                <w:trHeight w:val="1067"/>
                <w:jc w:val="center"/>
              </w:trPr>
              <w:tc>
                <w:tcPr>
                  <w:tcW w:w="1038"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6CB05E4B"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lang w:val="es-MX"/>
                    </w:rPr>
                    <w:t>Acuerdos con los proveedores</w:t>
                  </w:r>
                </w:p>
              </w:tc>
              <w:tc>
                <w:tcPr>
                  <w:tcW w:w="3962"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4658C669"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40 - Imposibilidad de verificar el cumplimiento de mejores prácticas por parte de los proveedores relacionadas con seguridad de la información, continuidad de negocio y protección de datos personales.</w:t>
                  </w:r>
                </w:p>
                <w:p w14:paraId="451E4195" w14:textId="56C094D7"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41 - Acceso a información propia del fondo, como la que tiene que ver con infraestructura tecnológica, direccionamiento IP, información de otros sistemas como el caso del Sistema de Información SIFA para lograr la integración, etc. por parte de PWC.</w:t>
                  </w:r>
                </w:p>
              </w:tc>
            </w:tr>
            <w:tr w:rsidR="008824DC" w:rsidRPr="00CB3D8E" w14:paraId="0756D201" w14:textId="77777777" w:rsidTr="00CB3D8E">
              <w:trPr>
                <w:cantSplit/>
                <w:trHeight w:val="640"/>
                <w:jc w:val="center"/>
              </w:trPr>
              <w:tc>
                <w:tcPr>
                  <w:tcW w:w="1038"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47997275"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Gestión de Incidentes</w:t>
                  </w:r>
                </w:p>
              </w:tc>
              <w:tc>
                <w:tcPr>
                  <w:tcW w:w="3962"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65544B21"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003 - Gestión inadecuada de incidentes de seguridad de la información.</w:t>
                  </w:r>
                  <w:r w:rsidRPr="00CB3D8E">
                    <w:rPr>
                      <w:rFonts w:asciiTheme="minorHAnsi" w:hAnsiTheme="minorHAnsi" w:cs="Arial"/>
                      <w:sz w:val="18"/>
                      <w:szCs w:val="18"/>
                      <w:lang w:val="es-MX"/>
                    </w:rPr>
                    <w:br/>
                    <w:t>JAHV 005 - Retrasos en la respuesta a incidentes debido a la ausencia de un responsable definido para la toma de decisiones ante eventos de seguridad de la información del sistema SIFA.</w:t>
                  </w:r>
                </w:p>
                <w:p w14:paraId="64C8D316" w14:textId="6DD32D24"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77 -JAHV 78 - JAHV 80 - Inoportuna gestión de incidentes.</w:t>
                  </w:r>
                </w:p>
              </w:tc>
            </w:tr>
            <w:tr w:rsidR="008824DC" w:rsidRPr="00CB3D8E" w14:paraId="7E0641BF" w14:textId="77777777" w:rsidTr="00CB3D8E">
              <w:trPr>
                <w:cantSplit/>
                <w:trHeight w:val="1695"/>
                <w:jc w:val="center"/>
              </w:trPr>
              <w:tc>
                <w:tcPr>
                  <w:tcW w:w="1038"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28C33021" w14:textId="576CC45C"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Continuidad tecnológica (DRP)</w:t>
                  </w:r>
                </w:p>
              </w:tc>
              <w:tc>
                <w:tcPr>
                  <w:tcW w:w="3962"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61AC0340"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006 - Ausencia de contingencias tecnológicas para el sistema SIFA antes fallas tecnológicas o ciberataques.</w:t>
                  </w:r>
                </w:p>
                <w:p w14:paraId="3CBC5E6C"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007 - Ausencia de una herramienta de monitoreo para los servidores y servicios del sistema SIFA que permita determinar oportunamente la no disponibilidad de dichos recursos.</w:t>
                  </w:r>
                </w:p>
                <w:p w14:paraId="666E6341" w14:textId="217F1DB1"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008 - Interrupción por recursos insuficientes debido a la ausencia de procesos de gestión de capacidad en los servidores que hacen parte del sistema SIFA.</w:t>
                  </w:r>
                </w:p>
                <w:p w14:paraId="5C7B238C"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009 - Incapacidad para la recuperación ante la materialización de una interrupción por la ausencia de un plan de continuidad y un plan de recuperación de desastres tecnológicos.</w:t>
                  </w:r>
                </w:p>
                <w:p w14:paraId="631A2B91" w14:textId="7B0F8853"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43 - JAHV 75 - Falla de la copia de respaldo.</w:t>
                  </w:r>
                </w:p>
              </w:tc>
            </w:tr>
            <w:tr w:rsidR="008824DC" w:rsidRPr="00CB3D8E" w14:paraId="3CFAE3B4" w14:textId="77777777" w:rsidTr="00CB3D8E">
              <w:trPr>
                <w:cantSplit/>
                <w:trHeight w:val="635"/>
                <w:jc w:val="center"/>
              </w:trPr>
              <w:tc>
                <w:tcPr>
                  <w:tcW w:w="1038"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5115480D"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lastRenderedPageBreak/>
                    <w:t>Derechos de Acceso</w:t>
                  </w:r>
                </w:p>
              </w:tc>
              <w:tc>
                <w:tcPr>
                  <w:tcW w:w="3962"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16CE9329"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004 - Detección inoportuna de amenazas en los servidores y el sistema SIFA.</w:t>
                  </w:r>
                </w:p>
                <w:p w14:paraId="7BE9DB4C"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010 - JAHV 42 - JAHV 73 - JAHV 74 - JAHV 81 - Acceso no autorizado.</w:t>
                  </w:r>
                </w:p>
                <w:p w14:paraId="387A0ABE" w14:textId="558EED44"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JAH0011 - Ataques de fuerza bruta debido a la ausencia de registros de intentos fallidos o bloqueos tras múltiples intentos fallidos en el sistema SIFA.</w:t>
                  </w:r>
                </w:p>
              </w:tc>
            </w:tr>
            <w:tr w:rsidR="008824DC" w:rsidRPr="00CB3D8E" w14:paraId="5143ED7B" w14:textId="77777777" w:rsidTr="00CB3D8E">
              <w:trPr>
                <w:cantSplit/>
                <w:trHeight w:val="407"/>
                <w:jc w:val="center"/>
              </w:trPr>
              <w:tc>
                <w:tcPr>
                  <w:tcW w:w="1038"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7FFE5192"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Seguridad en redes</w:t>
                  </w:r>
                </w:p>
              </w:tc>
              <w:tc>
                <w:tcPr>
                  <w:tcW w:w="3962"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5A8C3E6E" w14:textId="77777777"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018 - JAHV 79 - Materialización de ciberataques.</w:t>
                  </w:r>
                </w:p>
              </w:tc>
            </w:tr>
            <w:tr w:rsidR="008824DC" w:rsidRPr="00CB3D8E" w14:paraId="40899E75" w14:textId="77777777" w:rsidTr="00CB3D8E">
              <w:trPr>
                <w:cantSplit/>
                <w:trHeight w:val="1197"/>
                <w:jc w:val="center"/>
              </w:trPr>
              <w:tc>
                <w:tcPr>
                  <w:tcW w:w="1038"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35FA7AA0"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Desarrollo seguro</w:t>
                  </w:r>
                </w:p>
              </w:tc>
              <w:tc>
                <w:tcPr>
                  <w:tcW w:w="3962"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27826EC8"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013 - Vulnerabilidades en el sistema SIFA, debido a la ausencia de análisis de código estático o análisis de código dinámico durante el desarrollo del software.</w:t>
                  </w:r>
                </w:p>
                <w:p w14:paraId="49469673"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014 - Vulnerabilidades en el desarrollo de software debido a la ausencia de una metodología de desarrollo seguro formalmente establecida.</w:t>
                  </w:r>
                  <w:r w:rsidRPr="00CB3D8E">
                    <w:rPr>
                      <w:rFonts w:asciiTheme="minorHAnsi" w:hAnsiTheme="minorHAnsi" w:cs="Arial"/>
                      <w:sz w:val="18"/>
                      <w:szCs w:val="18"/>
                      <w:lang w:val="es-MX"/>
                    </w:rPr>
                    <w:br/>
                    <w:t>JAHV 015 - Acceso no autorizado debido a la ausencia de segmentación a nivel de red de los ambientes del sistema SIFA.</w:t>
                  </w:r>
                </w:p>
                <w:p w14:paraId="653F1807" w14:textId="34068E99"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82 - Perdida de información física debido a que no se ha implementado un mecanismo de etiquetado o marcas de agua visibles en los documentos físicos generados a través del sistema de Gestión Documental (Datafondo), lo cual limita la trazabilidad y el refuerzo de la confidencialidad sobre los documentos impresos.</w:t>
                  </w:r>
                </w:p>
              </w:tc>
            </w:tr>
            <w:tr w:rsidR="008824DC" w:rsidRPr="00CB3D8E" w14:paraId="42AC33DE" w14:textId="77777777" w:rsidTr="00CB3D8E">
              <w:trPr>
                <w:cantSplit/>
                <w:trHeight w:val="183"/>
                <w:jc w:val="center"/>
              </w:trPr>
              <w:tc>
                <w:tcPr>
                  <w:tcW w:w="1038"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7A90C724"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Gestión de cambios</w:t>
                  </w:r>
                </w:p>
              </w:tc>
              <w:tc>
                <w:tcPr>
                  <w:tcW w:w="3962"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1F34ABB6" w14:textId="77777777"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016 - JAHV 017 - Ausencia de un proceso de gestión de cambios.</w:t>
                  </w:r>
                </w:p>
              </w:tc>
            </w:tr>
            <w:tr w:rsidR="008824DC" w:rsidRPr="00CB3D8E" w14:paraId="2C8A8061" w14:textId="77777777" w:rsidTr="00CB3D8E">
              <w:trPr>
                <w:cantSplit/>
                <w:trHeight w:val="501"/>
                <w:jc w:val="center"/>
              </w:trPr>
              <w:tc>
                <w:tcPr>
                  <w:tcW w:w="1038" w:type="pct"/>
                  <w:tcBorders>
                    <w:top w:val="single" w:sz="4" w:space="0" w:color="000000"/>
                    <w:left w:val="single" w:sz="8" w:space="0" w:color="000000"/>
                    <w:bottom w:val="single" w:sz="8" w:space="0" w:color="000000"/>
                    <w:right w:val="single" w:sz="4" w:space="0" w:color="000000"/>
                  </w:tcBorders>
                  <w:tcMar>
                    <w:top w:w="72" w:type="dxa"/>
                    <w:left w:w="144" w:type="dxa"/>
                    <w:bottom w:w="72" w:type="dxa"/>
                    <w:right w:w="144" w:type="dxa"/>
                  </w:tcMar>
                  <w:vAlign w:val="center"/>
                  <w:hideMark/>
                </w:tcPr>
                <w:p w14:paraId="634EA1D0"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Gestión de vulnerabilidades</w:t>
                  </w:r>
                </w:p>
              </w:tc>
              <w:tc>
                <w:tcPr>
                  <w:tcW w:w="3962" w:type="pct"/>
                  <w:tcBorders>
                    <w:top w:val="single" w:sz="4" w:space="0" w:color="000000"/>
                    <w:left w:val="single" w:sz="4" w:space="0" w:color="000000"/>
                    <w:bottom w:val="single" w:sz="8" w:space="0" w:color="000000"/>
                    <w:right w:val="single" w:sz="4" w:space="0" w:color="000000"/>
                  </w:tcBorders>
                  <w:tcMar>
                    <w:top w:w="72" w:type="dxa"/>
                    <w:left w:w="144" w:type="dxa"/>
                    <w:bottom w:w="72" w:type="dxa"/>
                    <w:right w:w="144" w:type="dxa"/>
                  </w:tcMar>
                  <w:vAlign w:val="center"/>
                  <w:hideMark/>
                </w:tcPr>
                <w:p w14:paraId="5AA2A46B" w14:textId="77777777"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76 - JAHV 012 - Ataque cibernético debido a que no se han realizado ejercicios de análisis de vulnerabilidades ni Ethical hacking al sistema de Gestión Documental (Datafondo), lo cual limita la identificación proactiva de debilidades técnicas que puedan ser explotadas por actores malintencionados.</w:t>
                  </w:r>
                </w:p>
              </w:tc>
            </w:tr>
          </w:tbl>
          <w:p w14:paraId="39757BAB" w14:textId="1C507CF1" w:rsidR="008824DC" w:rsidRPr="00416EF4" w:rsidRDefault="00416EF4" w:rsidP="006C3B9C">
            <w:pPr>
              <w:pStyle w:val="Prrafodelista"/>
              <w:numPr>
                <w:ilvl w:val="1"/>
                <w:numId w:val="43"/>
              </w:numPr>
              <w:spacing w:before="240" w:after="120"/>
              <w:ind w:left="1309"/>
              <w:jc w:val="both"/>
              <w:rPr>
                <w:rFonts w:asciiTheme="minorHAnsi" w:eastAsia="Arial Narrow" w:hAnsiTheme="minorHAnsi" w:cs="Arial"/>
                <w:b/>
                <w:bCs/>
                <w:color w:val="002465"/>
                <w:sz w:val="20"/>
                <w:szCs w:val="20"/>
              </w:rPr>
            </w:pPr>
            <w:r>
              <w:rPr>
                <w:rFonts w:asciiTheme="minorHAnsi" w:eastAsia="Arial Narrow" w:hAnsiTheme="minorHAnsi" w:cs="Arial"/>
                <w:b/>
                <w:bCs/>
                <w:color w:val="002465"/>
                <w:sz w:val="20"/>
                <w:szCs w:val="20"/>
              </w:rPr>
              <w:t>Análisis de causa raíz</w:t>
            </w:r>
          </w:p>
          <w:p w14:paraId="4BEEF9E2" w14:textId="77777777" w:rsidR="008824DC" w:rsidRPr="00F20438" w:rsidRDefault="008824DC" w:rsidP="008824DC">
            <w:pPr>
              <w:rPr>
                <w:rFonts w:asciiTheme="minorHAnsi" w:hAnsiTheme="minorHAnsi" w:cs="Arial"/>
                <w:sz w:val="20"/>
                <w:szCs w:val="20"/>
              </w:rPr>
            </w:pPr>
            <w:r w:rsidRPr="00F20438">
              <w:rPr>
                <w:rFonts w:asciiTheme="minorHAnsi" w:hAnsiTheme="minorHAnsi" w:cs="Arial"/>
                <w:sz w:val="20"/>
                <w:szCs w:val="20"/>
                <w:lang w:val="es-MX"/>
              </w:rPr>
              <w:t>La siguiente tabla presenta el detalle de las causas raíz identificadas por dominio según el Anexo A de la ISO 27001 en las auditorías a los sistemas de información SIFA, PSA y DATAFONDO:</w:t>
            </w:r>
          </w:p>
          <w:p w14:paraId="29F53A6E" w14:textId="77777777" w:rsidR="008824DC" w:rsidRPr="00F20438" w:rsidRDefault="008824DC" w:rsidP="008824DC">
            <w:pPr>
              <w:rPr>
                <w:rFonts w:asciiTheme="minorHAnsi" w:hAnsiTheme="minorHAnsi" w:cs="Arial"/>
                <w:sz w:val="20"/>
                <w:szCs w:val="20"/>
                <w:lang w:val="es-MX"/>
              </w:rPr>
            </w:pPr>
          </w:p>
          <w:tbl>
            <w:tblPr>
              <w:tblW w:w="4529" w:type="pct"/>
              <w:jc w:val="center"/>
              <w:tblCellMar>
                <w:left w:w="0" w:type="dxa"/>
                <w:right w:w="0" w:type="dxa"/>
              </w:tblCellMar>
              <w:tblLook w:val="0600" w:firstRow="0" w:lastRow="0" w:firstColumn="0" w:lastColumn="0" w:noHBand="1" w:noVBand="1"/>
            </w:tblPr>
            <w:tblGrid>
              <w:gridCol w:w="1836"/>
              <w:gridCol w:w="6814"/>
            </w:tblGrid>
            <w:tr w:rsidR="008824DC" w:rsidRPr="00CB3D8E" w14:paraId="5B5EC8CE" w14:textId="77777777" w:rsidTr="00CB3D8E">
              <w:trPr>
                <w:trHeight w:val="125"/>
                <w:tblHeader/>
                <w:jc w:val="center"/>
              </w:trPr>
              <w:tc>
                <w:tcPr>
                  <w:tcW w:w="1061" w:type="pct"/>
                  <w:tcBorders>
                    <w:top w:val="single" w:sz="4" w:space="0" w:color="000000"/>
                    <w:left w:val="single" w:sz="8" w:space="0" w:color="000000"/>
                    <w:bottom w:val="single" w:sz="4" w:space="0" w:color="000000"/>
                    <w:right w:val="single" w:sz="4" w:space="0" w:color="000000"/>
                  </w:tcBorders>
                  <w:shd w:val="clear" w:color="auto" w:fill="153D63" w:themeFill="text2" w:themeFillTint="E6"/>
                  <w:tcMar>
                    <w:top w:w="72" w:type="dxa"/>
                    <w:left w:w="144" w:type="dxa"/>
                    <w:bottom w:w="72" w:type="dxa"/>
                    <w:right w:w="144" w:type="dxa"/>
                  </w:tcMar>
                  <w:vAlign w:val="center"/>
                  <w:hideMark/>
                </w:tcPr>
                <w:p w14:paraId="3FCF53F2"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Dominios</w:t>
                  </w:r>
                </w:p>
              </w:tc>
              <w:tc>
                <w:tcPr>
                  <w:tcW w:w="3939" w:type="pct"/>
                  <w:tcBorders>
                    <w:top w:val="single" w:sz="4" w:space="0" w:color="000000"/>
                    <w:left w:val="single" w:sz="4" w:space="0" w:color="000000"/>
                    <w:bottom w:val="single" w:sz="4" w:space="0" w:color="000000"/>
                    <w:right w:val="single" w:sz="4" w:space="0" w:color="000000"/>
                  </w:tcBorders>
                  <w:shd w:val="clear" w:color="auto" w:fill="153D63" w:themeFill="text2" w:themeFillTint="E6"/>
                  <w:tcMar>
                    <w:top w:w="72" w:type="dxa"/>
                    <w:left w:w="144" w:type="dxa"/>
                    <w:bottom w:w="72" w:type="dxa"/>
                    <w:right w:w="144" w:type="dxa"/>
                  </w:tcMar>
                  <w:vAlign w:val="center"/>
                  <w:hideMark/>
                </w:tcPr>
                <w:p w14:paraId="0FD4376B"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Causas raíz</w:t>
                  </w:r>
                </w:p>
              </w:tc>
            </w:tr>
            <w:tr w:rsidR="008824DC" w:rsidRPr="00CB3D8E" w14:paraId="69145795" w14:textId="77777777" w:rsidTr="00CB3D8E">
              <w:trPr>
                <w:trHeight w:val="518"/>
                <w:jc w:val="center"/>
              </w:trPr>
              <w:tc>
                <w:tcPr>
                  <w:tcW w:w="1061"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5E4A64DF"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lang w:val="es-MX"/>
                    </w:rPr>
                    <w:t>Acuerdos con los proveedores</w:t>
                  </w:r>
                </w:p>
              </w:tc>
              <w:tc>
                <w:tcPr>
                  <w:tcW w:w="3939"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670C9746" w14:textId="77777777"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040 - JAHV 041 - Ausencia de cláusulas contractuales claras sobre seguridad, confidencialidad, continuidad, datos personales y auditoría.</w:t>
                  </w:r>
                </w:p>
              </w:tc>
            </w:tr>
            <w:tr w:rsidR="008824DC" w:rsidRPr="00CB3D8E" w14:paraId="402B23ED" w14:textId="77777777" w:rsidTr="00CB3D8E">
              <w:trPr>
                <w:trHeight w:val="819"/>
                <w:jc w:val="center"/>
              </w:trPr>
              <w:tc>
                <w:tcPr>
                  <w:tcW w:w="1061"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4C70D255"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Gestión de Incidentes</w:t>
                  </w:r>
                </w:p>
              </w:tc>
              <w:tc>
                <w:tcPr>
                  <w:tcW w:w="3939"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652D0625"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003 - JAHV 005 - JAHV 080 - No se cuenta con un procedimiento formal que defina la gestión de incidentes de seguridad de la información.</w:t>
                  </w:r>
                  <w:r w:rsidRPr="00CB3D8E">
                    <w:rPr>
                      <w:rFonts w:asciiTheme="minorHAnsi" w:hAnsiTheme="minorHAnsi" w:cs="Arial"/>
                      <w:sz w:val="18"/>
                      <w:szCs w:val="18"/>
                      <w:lang w:val="es-MX"/>
                    </w:rPr>
                    <w:br/>
                    <w:t>JAHV 077 - No se han verificado los canales establecidos para el escalamiento de incidentes con el proveedor Macroproyectos.</w:t>
                  </w:r>
                </w:p>
                <w:p w14:paraId="1F41F39A" w14:textId="0B51B48D"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078 - No se ha verificado que las alertas generadas por Oracle estén redirigidas a un buzón autorizado ni gestionadas por un responsable.</w:t>
                  </w:r>
                </w:p>
              </w:tc>
            </w:tr>
            <w:tr w:rsidR="008824DC" w:rsidRPr="00CB3D8E" w14:paraId="5FDACDE7" w14:textId="77777777" w:rsidTr="00CB3D8E">
              <w:trPr>
                <w:trHeight w:val="979"/>
                <w:jc w:val="center"/>
              </w:trPr>
              <w:tc>
                <w:tcPr>
                  <w:tcW w:w="1061"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520E11CA"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Continuidad tecnológica (DRP)</w:t>
                  </w:r>
                </w:p>
              </w:tc>
              <w:tc>
                <w:tcPr>
                  <w:tcW w:w="3939"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7F74FFDB"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006 - JAHV 009 - No se cuenta con planes de contingencia definidos.</w:t>
                  </w:r>
                  <w:r w:rsidRPr="00CB3D8E">
                    <w:rPr>
                      <w:rFonts w:asciiTheme="minorHAnsi" w:hAnsiTheme="minorHAnsi" w:cs="Arial"/>
                      <w:sz w:val="18"/>
                      <w:szCs w:val="18"/>
                      <w:lang w:val="es-MX"/>
                    </w:rPr>
                    <w:br/>
                    <w:t>JAHV 007 - JAHV 008 - No se realizan procesos de gestión de capacidad en los servidores del sistema.</w:t>
                  </w:r>
                </w:p>
                <w:p w14:paraId="3456391F"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043 - Las pruebas de restauración de respaldos se hacen bajo demanda y tienen costo.</w:t>
                  </w:r>
                </w:p>
                <w:p w14:paraId="00CD524C" w14:textId="6ADA2EDA"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075 - No se están realizando restauraciones periódicas de las copias de respaldo.</w:t>
                  </w:r>
                </w:p>
              </w:tc>
            </w:tr>
            <w:tr w:rsidR="008824DC" w:rsidRPr="00CB3D8E" w14:paraId="77D66955" w14:textId="77777777" w:rsidTr="00CB3D8E">
              <w:trPr>
                <w:trHeight w:val="18"/>
                <w:jc w:val="center"/>
              </w:trPr>
              <w:tc>
                <w:tcPr>
                  <w:tcW w:w="1061"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6819FBC5"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lastRenderedPageBreak/>
                    <w:t>Derechos de Acceso</w:t>
                  </w:r>
                </w:p>
              </w:tc>
              <w:tc>
                <w:tcPr>
                  <w:tcW w:w="3939"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0DC3B2F2"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004 - No se cuenta con una solución de correlación de eventos.</w:t>
                  </w:r>
                  <w:r w:rsidRPr="00CB3D8E">
                    <w:rPr>
                      <w:rFonts w:asciiTheme="minorHAnsi" w:hAnsiTheme="minorHAnsi" w:cs="Arial"/>
                      <w:sz w:val="18"/>
                      <w:szCs w:val="18"/>
                      <w:lang w:val="es-MX"/>
                    </w:rPr>
                    <w:br/>
                    <w:t>JAHV 010 - No se realizan revisiones periódicas de accesos privilegiados de manera formal.</w:t>
                  </w:r>
                </w:p>
                <w:p w14:paraId="3F56FDA0"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JAH0011 - No se registran intentos fallidos ni se bloquean accesos tras intentos fallidos.</w:t>
                  </w:r>
                </w:p>
                <w:p w14:paraId="56DEA2ED"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042 - No se ha validado que las políticas de contraseñas reportadas por el proveedor estén configuradas en el sistema.</w:t>
                  </w:r>
                </w:p>
                <w:p w14:paraId="311EECE7"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073 - El sistema de Gestión Documental (Datafondo) no se encuentra integrado con el controlador de dominio corporativo.</w:t>
                  </w:r>
                </w:p>
                <w:p w14:paraId="74114C06"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074 - No se ha implementado un mecanismo de doble factor de autenticación (2FA).</w:t>
                  </w:r>
                </w:p>
                <w:p w14:paraId="47DCAC9A" w14:textId="569E684E"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081 - Las credenciales de acceso a producción son las mismas que las del entorno de pruebas, y no se ha verificado su almacenamiento seguro.</w:t>
                  </w:r>
                </w:p>
              </w:tc>
            </w:tr>
            <w:tr w:rsidR="008824DC" w:rsidRPr="00CB3D8E" w14:paraId="38E37363" w14:textId="77777777" w:rsidTr="00CB3D8E">
              <w:trPr>
                <w:trHeight w:val="518"/>
                <w:jc w:val="center"/>
              </w:trPr>
              <w:tc>
                <w:tcPr>
                  <w:tcW w:w="1061"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7793D677"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Seguridad en redes</w:t>
                  </w:r>
                </w:p>
              </w:tc>
              <w:tc>
                <w:tcPr>
                  <w:tcW w:w="3939"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7D978558" w14:textId="77777777"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018 - JAHV 079 - No se han gestionado los pendientes en seguridad de la información recomendados.</w:t>
                  </w:r>
                </w:p>
              </w:tc>
            </w:tr>
            <w:tr w:rsidR="008824DC" w:rsidRPr="00CB3D8E" w14:paraId="4639E60B" w14:textId="77777777" w:rsidTr="00CB3D8E">
              <w:trPr>
                <w:trHeight w:val="750"/>
                <w:jc w:val="center"/>
              </w:trPr>
              <w:tc>
                <w:tcPr>
                  <w:tcW w:w="1061"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08CE5E88"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Desarrollo seguro</w:t>
                  </w:r>
                </w:p>
              </w:tc>
              <w:tc>
                <w:tcPr>
                  <w:tcW w:w="3939"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27F433BE" w14:textId="77777777" w:rsidR="00416EF4" w:rsidRPr="00CB3D8E" w:rsidRDefault="008824DC" w:rsidP="00416EF4">
                  <w:pPr>
                    <w:jc w:val="both"/>
                    <w:rPr>
                      <w:rFonts w:asciiTheme="minorHAnsi" w:hAnsiTheme="minorHAnsi" w:cs="Arial"/>
                      <w:sz w:val="18"/>
                      <w:szCs w:val="18"/>
                      <w:lang w:val="es-MX"/>
                    </w:rPr>
                  </w:pPr>
                  <w:r w:rsidRPr="00CB3D8E">
                    <w:rPr>
                      <w:rFonts w:asciiTheme="minorHAnsi" w:hAnsiTheme="minorHAnsi" w:cs="Arial"/>
                      <w:sz w:val="18"/>
                      <w:szCs w:val="18"/>
                      <w:lang w:val="es-MX"/>
                    </w:rPr>
                    <w:t>JAHV 013 - JAHV 014 - No se ha definido una metodología de desarrollo seguro.</w:t>
                  </w:r>
                  <w:r w:rsidRPr="00CB3D8E">
                    <w:rPr>
                      <w:rFonts w:asciiTheme="minorHAnsi" w:hAnsiTheme="minorHAnsi" w:cs="Arial"/>
                      <w:sz w:val="18"/>
                      <w:szCs w:val="18"/>
                      <w:lang w:val="es-MX"/>
                    </w:rPr>
                    <w:br/>
                    <w:t>JAHV 015 - El servidor de pruebas y el de producción están en el mismo segmento de red, sin credenciales diferenciadas.</w:t>
                  </w:r>
                </w:p>
                <w:p w14:paraId="700D3868" w14:textId="5E71BAD7"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082 - No se ha implementado un mecanismo de etiquetado o marcas de agua visibles en documentos físicos generados por Datafondo.</w:t>
                  </w:r>
                </w:p>
              </w:tc>
            </w:tr>
            <w:tr w:rsidR="008824DC" w:rsidRPr="00CB3D8E" w14:paraId="7E9CF5EA" w14:textId="77777777" w:rsidTr="00CB3D8E">
              <w:trPr>
                <w:trHeight w:val="255"/>
                <w:jc w:val="center"/>
              </w:trPr>
              <w:tc>
                <w:tcPr>
                  <w:tcW w:w="1061" w:type="pct"/>
                  <w:tcBorders>
                    <w:top w:val="single" w:sz="4" w:space="0" w:color="000000"/>
                    <w:left w:val="single" w:sz="8" w:space="0" w:color="000000"/>
                    <w:bottom w:val="single" w:sz="4" w:space="0" w:color="000000"/>
                    <w:right w:val="single" w:sz="4" w:space="0" w:color="000000"/>
                  </w:tcBorders>
                  <w:tcMar>
                    <w:top w:w="72" w:type="dxa"/>
                    <w:left w:w="144" w:type="dxa"/>
                    <w:bottom w:w="72" w:type="dxa"/>
                    <w:right w:w="144" w:type="dxa"/>
                  </w:tcMar>
                  <w:vAlign w:val="center"/>
                  <w:hideMark/>
                </w:tcPr>
                <w:p w14:paraId="363AFC01"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Gestión de cambios</w:t>
                  </w:r>
                </w:p>
              </w:tc>
              <w:tc>
                <w:tcPr>
                  <w:tcW w:w="3939" w:type="pct"/>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hideMark/>
                </w:tcPr>
                <w:p w14:paraId="0FE27B32" w14:textId="77777777"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016 - JAHV 017 - No existe un proceso de gestión de cambios críticos en el sistema.</w:t>
                  </w:r>
                </w:p>
              </w:tc>
            </w:tr>
            <w:tr w:rsidR="008824DC" w:rsidRPr="00CB3D8E" w14:paraId="5E987821" w14:textId="77777777" w:rsidTr="00CB3D8E">
              <w:trPr>
                <w:trHeight w:val="18"/>
                <w:jc w:val="center"/>
              </w:trPr>
              <w:tc>
                <w:tcPr>
                  <w:tcW w:w="1061" w:type="pct"/>
                  <w:tcBorders>
                    <w:top w:val="single" w:sz="4" w:space="0" w:color="000000"/>
                    <w:left w:val="single" w:sz="8" w:space="0" w:color="000000"/>
                    <w:bottom w:val="single" w:sz="8" w:space="0" w:color="000000"/>
                    <w:right w:val="single" w:sz="4" w:space="0" w:color="000000"/>
                  </w:tcBorders>
                  <w:tcMar>
                    <w:top w:w="72" w:type="dxa"/>
                    <w:left w:w="144" w:type="dxa"/>
                    <w:bottom w:w="72" w:type="dxa"/>
                    <w:right w:w="144" w:type="dxa"/>
                  </w:tcMar>
                  <w:vAlign w:val="center"/>
                  <w:hideMark/>
                </w:tcPr>
                <w:p w14:paraId="66932085" w14:textId="77777777" w:rsidR="008824DC" w:rsidRPr="00CB3D8E" w:rsidRDefault="008824DC" w:rsidP="00416EF4">
                  <w:pPr>
                    <w:jc w:val="center"/>
                    <w:rPr>
                      <w:rFonts w:asciiTheme="minorHAnsi" w:hAnsiTheme="minorHAnsi" w:cs="Arial"/>
                      <w:sz w:val="18"/>
                      <w:szCs w:val="18"/>
                    </w:rPr>
                  </w:pPr>
                  <w:r w:rsidRPr="00CB3D8E">
                    <w:rPr>
                      <w:rFonts w:asciiTheme="minorHAnsi" w:hAnsiTheme="minorHAnsi" w:cs="Arial"/>
                      <w:b/>
                      <w:bCs/>
                      <w:sz w:val="18"/>
                      <w:szCs w:val="18"/>
                    </w:rPr>
                    <w:t>Gestión de vulnerabilidades</w:t>
                  </w:r>
                </w:p>
              </w:tc>
              <w:tc>
                <w:tcPr>
                  <w:tcW w:w="3939" w:type="pct"/>
                  <w:tcBorders>
                    <w:top w:val="single" w:sz="4" w:space="0" w:color="000000"/>
                    <w:left w:val="single" w:sz="4" w:space="0" w:color="000000"/>
                    <w:bottom w:val="single" w:sz="8" w:space="0" w:color="000000"/>
                    <w:right w:val="single" w:sz="4" w:space="0" w:color="000000"/>
                  </w:tcBorders>
                  <w:tcMar>
                    <w:top w:w="72" w:type="dxa"/>
                    <w:left w:w="144" w:type="dxa"/>
                    <w:bottom w:w="72" w:type="dxa"/>
                    <w:right w:w="144" w:type="dxa"/>
                  </w:tcMar>
                  <w:vAlign w:val="center"/>
                  <w:hideMark/>
                </w:tcPr>
                <w:p w14:paraId="35537ABD" w14:textId="77777777" w:rsidR="008824DC" w:rsidRPr="00CB3D8E" w:rsidRDefault="008824DC" w:rsidP="00416EF4">
                  <w:pPr>
                    <w:jc w:val="both"/>
                    <w:rPr>
                      <w:rFonts w:asciiTheme="minorHAnsi" w:hAnsiTheme="minorHAnsi" w:cs="Arial"/>
                      <w:sz w:val="18"/>
                      <w:szCs w:val="18"/>
                    </w:rPr>
                  </w:pPr>
                  <w:r w:rsidRPr="00CB3D8E">
                    <w:rPr>
                      <w:rFonts w:asciiTheme="minorHAnsi" w:hAnsiTheme="minorHAnsi" w:cs="Arial"/>
                      <w:sz w:val="18"/>
                      <w:szCs w:val="18"/>
                      <w:lang w:val="es-MX"/>
                    </w:rPr>
                    <w:t>JAHV 076 - JAHV 012 - No se han realizado ejercicios de análisis de vulnerabilidades ni ethical hacking al sistema.</w:t>
                  </w:r>
                </w:p>
              </w:tc>
            </w:tr>
          </w:tbl>
          <w:p w14:paraId="5E7DBA67" w14:textId="333A0E52" w:rsidR="008824DC" w:rsidRPr="00416EF4" w:rsidRDefault="008824DC" w:rsidP="006C3B9C">
            <w:pPr>
              <w:pStyle w:val="Prrafodelista"/>
              <w:numPr>
                <w:ilvl w:val="1"/>
                <w:numId w:val="43"/>
              </w:numPr>
              <w:spacing w:before="240" w:after="120"/>
              <w:ind w:left="1309"/>
              <w:jc w:val="both"/>
              <w:rPr>
                <w:rFonts w:asciiTheme="minorHAnsi" w:eastAsia="Arial Narrow" w:hAnsiTheme="minorHAnsi" w:cs="Arial"/>
                <w:b/>
                <w:bCs/>
                <w:color w:val="002465"/>
                <w:sz w:val="20"/>
                <w:szCs w:val="20"/>
              </w:rPr>
            </w:pPr>
            <w:r w:rsidRPr="00416EF4">
              <w:rPr>
                <w:rFonts w:asciiTheme="minorHAnsi" w:eastAsia="Arial Narrow" w:hAnsiTheme="minorHAnsi" w:cs="Arial"/>
                <w:b/>
                <w:bCs/>
                <w:color w:val="002465"/>
                <w:sz w:val="20"/>
                <w:szCs w:val="20"/>
              </w:rPr>
              <w:t xml:space="preserve">Conclusiones </w:t>
            </w:r>
          </w:p>
          <w:p w14:paraId="1864DF61" w14:textId="77777777" w:rsidR="008824DC" w:rsidRPr="00F20438" w:rsidRDefault="008824DC" w:rsidP="008824DC">
            <w:pPr>
              <w:rPr>
                <w:rFonts w:asciiTheme="minorHAnsi" w:hAnsiTheme="minorHAnsi" w:cs="Arial"/>
                <w:sz w:val="20"/>
                <w:szCs w:val="20"/>
                <w:lang w:val="es-MX"/>
              </w:rPr>
            </w:pPr>
          </w:p>
          <w:p w14:paraId="70DA5D88" w14:textId="621FFB5E" w:rsidR="008824DC" w:rsidRPr="00CB3D8E" w:rsidRDefault="008824DC" w:rsidP="00CB3D8E">
            <w:pPr>
              <w:numPr>
                <w:ilvl w:val="0"/>
                <w:numId w:val="44"/>
              </w:numPr>
              <w:spacing w:after="160"/>
              <w:jc w:val="both"/>
              <w:rPr>
                <w:rFonts w:asciiTheme="minorHAnsi" w:hAnsiTheme="minorHAnsi" w:cs="Arial"/>
                <w:sz w:val="20"/>
                <w:szCs w:val="20"/>
              </w:rPr>
            </w:pPr>
            <w:r w:rsidRPr="00CB3D8E">
              <w:rPr>
                <w:rFonts w:asciiTheme="minorHAnsi" w:hAnsiTheme="minorHAnsi" w:cs="Arial"/>
                <w:sz w:val="20"/>
                <w:szCs w:val="20"/>
                <w:lang w:val="es-MX"/>
              </w:rPr>
              <w:t xml:space="preserve">Se identifica la necesidad de revisar los contratos y acuerdos con proveedores para garantizar la continuidad de los servicios tecnológicos, escalamiento de incidentes, gestión de vulnerabilidades, </w:t>
            </w:r>
            <w:r w:rsidR="004A2D1E" w:rsidRPr="00CB3D8E">
              <w:rPr>
                <w:rFonts w:asciiTheme="minorHAnsi" w:hAnsiTheme="minorHAnsi" w:cs="Arial"/>
                <w:sz w:val="20"/>
                <w:szCs w:val="20"/>
                <w:lang w:val="es-MX"/>
              </w:rPr>
              <w:t>así</w:t>
            </w:r>
            <w:r w:rsidRPr="00CB3D8E">
              <w:rPr>
                <w:rFonts w:asciiTheme="minorHAnsi" w:hAnsiTheme="minorHAnsi" w:cs="Arial"/>
                <w:sz w:val="20"/>
                <w:szCs w:val="20"/>
                <w:lang w:val="es-MX"/>
              </w:rPr>
              <w:t xml:space="preserve"> como la confidencialidad de la información a la que los proveedores tienen acceso.</w:t>
            </w:r>
          </w:p>
          <w:p w14:paraId="04432DAF" w14:textId="77777777" w:rsidR="008824DC" w:rsidRPr="00CB3D8E" w:rsidRDefault="008824DC" w:rsidP="00CB3D8E">
            <w:pPr>
              <w:numPr>
                <w:ilvl w:val="0"/>
                <w:numId w:val="44"/>
              </w:numPr>
              <w:spacing w:after="160"/>
              <w:jc w:val="both"/>
              <w:rPr>
                <w:rFonts w:asciiTheme="minorHAnsi" w:hAnsiTheme="minorHAnsi" w:cs="Arial"/>
                <w:sz w:val="20"/>
                <w:szCs w:val="20"/>
              </w:rPr>
            </w:pPr>
            <w:r w:rsidRPr="00CB3D8E">
              <w:rPr>
                <w:rFonts w:asciiTheme="minorHAnsi" w:hAnsiTheme="minorHAnsi" w:cs="Arial"/>
                <w:sz w:val="20"/>
                <w:szCs w:val="20"/>
                <w:lang w:val="es-MX"/>
              </w:rPr>
              <w:t>A la fecha no se tiene un procedimiento de gestión de incidentes aprobado que cumpla con las mejores prácticas y que sea socializado a nivel interno y con los proveedores.</w:t>
            </w:r>
          </w:p>
          <w:p w14:paraId="7E9A4B61" w14:textId="77777777" w:rsidR="00416EF4" w:rsidRPr="00CB3D8E" w:rsidRDefault="008824DC" w:rsidP="00CB3D8E">
            <w:pPr>
              <w:numPr>
                <w:ilvl w:val="0"/>
                <w:numId w:val="44"/>
              </w:numPr>
              <w:spacing w:after="160"/>
              <w:jc w:val="both"/>
              <w:rPr>
                <w:rFonts w:asciiTheme="minorHAnsi" w:eastAsia="Arial Narrow" w:hAnsiTheme="minorHAnsi" w:cs="Arial"/>
                <w:sz w:val="20"/>
                <w:szCs w:val="20"/>
              </w:rPr>
            </w:pPr>
            <w:r w:rsidRPr="00CB3D8E">
              <w:rPr>
                <w:rFonts w:asciiTheme="minorHAnsi" w:hAnsiTheme="minorHAnsi" w:cs="Arial"/>
                <w:sz w:val="20"/>
                <w:szCs w:val="20"/>
                <w:lang w:val="es-MX"/>
              </w:rPr>
              <w:t>Se requieren recursos económicos para implementar mejores prácticas de seguridad de la información y ciberseguridad a nivel transversal: correlación de eventos, análisis de vulnerabilidades, ethical hacking, implementar recomendaciones de las plataformas en nube, planes de recuperación de desastres tecnológicos por sistema de información misional.</w:t>
            </w:r>
          </w:p>
          <w:p w14:paraId="185B8BEA" w14:textId="758FFE4F" w:rsidR="00416EF4" w:rsidRPr="00F20438" w:rsidRDefault="006C3B9C" w:rsidP="006C3B9C">
            <w:pPr>
              <w:pStyle w:val="Prrafodelista"/>
              <w:numPr>
                <w:ilvl w:val="0"/>
                <w:numId w:val="16"/>
              </w:numPr>
              <w:spacing w:before="240" w:after="240"/>
              <w:jc w:val="both"/>
              <w:rPr>
                <w:rFonts w:asciiTheme="minorHAnsi" w:eastAsia="Arial Narrow" w:hAnsiTheme="minorHAnsi" w:cs="Arial"/>
                <w:b/>
                <w:bCs/>
                <w:color w:val="002465"/>
                <w:sz w:val="20"/>
                <w:szCs w:val="20"/>
              </w:rPr>
            </w:pPr>
            <w:r>
              <w:rPr>
                <w:rFonts w:asciiTheme="minorHAnsi" w:eastAsia="Arial Narrow" w:hAnsiTheme="minorHAnsi" w:cs="Arial"/>
                <w:b/>
                <w:bCs/>
                <w:color w:val="002465"/>
                <w:sz w:val="20"/>
                <w:szCs w:val="20"/>
              </w:rPr>
              <w:t>CONCLUSIÓN GENERAL</w:t>
            </w:r>
          </w:p>
          <w:p w14:paraId="206FFB7A" w14:textId="77777777" w:rsidR="00C36520" w:rsidRDefault="00C36520" w:rsidP="00CB3D8E">
            <w:pPr>
              <w:jc w:val="both"/>
              <w:rPr>
                <w:rFonts w:asciiTheme="minorHAnsi" w:hAnsiTheme="minorHAnsi" w:cs="Arial"/>
                <w:sz w:val="20"/>
                <w:szCs w:val="20"/>
                <w:lang w:val="es-MX"/>
              </w:rPr>
            </w:pPr>
            <w:r w:rsidRPr="00C36520">
              <w:rPr>
                <w:rFonts w:asciiTheme="minorHAnsi" w:hAnsiTheme="minorHAnsi" w:cs="Arial"/>
                <w:sz w:val="20"/>
                <w:szCs w:val="20"/>
                <w:lang w:val="es-MX"/>
              </w:rPr>
              <w:t xml:space="preserve">Este Informe Especial de Diagnóstico Inicial, elaborado a partir de los primeros seis meses de ejecución del Contrato de Consultoría No. FA-CM-I-S-345-2024, ofrece una perspectiva integral sobre el estado de la labor de auditoría. En él se destacan los hallazgos principales, las oportunidades de mejora y los riesgos identificados en la gestión del Fondo Adaptación. La auditoría, que incluyó 28 revisiones documentales y 5 con componente de </w:t>
            </w:r>
            <w:r w:rsidRPr="00C36520">
              <w:rPr>
                <w:rFonts w:asciiTheme="minorHAnsi" w:hAnsiTheme="minorHAnsi" w:cs="Arial"/>
                <w:sz w:val="20"/>
                <w:szCs w:val="20"/>
                <w:lang w:val="es-MX"/>
              </w:rPr>
              <w:lastRenderedPageBreak/>
              <w:t>campo, ha permitido establecer un diagnóstico técnico inicial mediante la evaluación de los componentes Jurídico, Financiero, de Procesos, Civil y de Tecnología de la Información.</w:t>
            </w:r>
          </w:p>
          <w:p w14:paraId="7A183230" w14:textId="77777777" w:rsidR="00C36520" w:rsidRPr="00C36520" w:rsidRDefault="00C36520" w:rsidP="00CB3D8E">
            <w:pPr>
              <w:jc w:val="both"/>
              <w:rPr>
                <w:rFonts w:asciiTheme="minorHAnsi" w:hAnsiTheme="minorHAnsi" w:cs="Arial"/>
                <w:sz w:val="20"/>
                <w:szCs w:val="20"/>
                <w:lang w:val="es-MX"/>
              </w:rPr>
            </w:pPr>
          </w:p>
          <w:p w14:paraId="030F325E" w14:textId="77777777" w:rsidR="00C36520" w:rsidRDefault="00C36520" w:rsidP="00CB3D8E">
            <w:pPr>
              <w:jc w:val="both"/>
              <w:rPr>
                <w:rFonts w:asciiTheme="minorHAnsi" w:hAnsiTheme="minorHAnsi" w:cs="Arial"/>
                <w:sz w:val="20"/>
                <w:szCs w:val="20"/>
                <w:lang w:val="es-MX"/>
              </w:rPr>
            </w:pPr>
            <w:r w:rsidRPr="00C36520">
              <w:rPr>
                <w:rFonts w:asciiTheme="minorHAnsi" w:hAnsiTheme="minorHAnsi" w:cs="Arial"/>
                <w:sz w:val="20"/>
                <w:szCs w:val="20"/>
                <w:lang w:val="es-MX"/>
              </w:rPr>
              <w:t>Si bien la auditoría reconoce las fortalezas del Fondo Adaptación en la adherencia a la normativa y la organización documental en ciertas áreas, también ha evidenciado la relevancia de impulsar una transformación en la gestión de proyectos y riesgos. Las oportunidades de mejora en la planificación, el seguimiento, la coordinación y la gestión del conocimiento, sumadas a los desafíos financieros y tecnológicos, se presentan como factores críticos para la consecución efectiva de los objetivos misionales de la entidad.</w:t>
            </w:r>
          </w:p>
          <w:p w14:paraId="76C4AA1A" w14:textId="77777777" w:rsidR="00C36520" w:rsidRPr="00C36520" w:rsidRDefault="00C36520" w:rsidP="00CB3D8E">
            <w:pPr>
              <w:jc w:val="both"/>
              <w:rPr>
                <w:rFonts w:asciiTheme="minorHAnsi" w:hAnsiTheme="minorHAnsi" w:cs="Arial"/>
                <w:sz w:val="20"/>
                <w:szCs w:val="20"/>
                <w:lang w:val="es-MX"/>
              </w:rPr>
            </w:pPr>
          </w:p>
          <w:p w14:paraId="3A4A463A" w14:textId="77777777" w:rsidR="00416EF4" w:rsidRPr="00C36520" w:rsidRDefault="00C36520" w:rsidP="00CB3D8E">
            <w:pPr>
              <w:jc w:val="both"/>
              <w:rPr>
                <w:rFonts w:asciiTheme="minorHAnsi" w:hAnsiTheme="minorHAnsi" w:cs="Arial"/>
                <w:sz w:val="20"/>
                <w:szCs w:val="20"/>
                <w:lang w:val="es-MX"/>
              </w:rPr>
            </w:pPr>
            <w:r w:rsidRPr="00C36520">
              <w:rPr>
                <w:rFonts w:asciiTheme="minorHAnsi" w:hAnsiTheme="minorHAnsi" w:cs="Arial"/>
                <w:sz w:val="20"/>
                <w:szCs w:val="20"/>
                <w:lang w:val="es-MX"/>
              </w:rPr>
              <w:t>Las recomendaciones estratégicas formuladas a lo largo de este informe, que abarcan el fortalecimiento de la planificación y contingencia, la mejora de la coordinación interinstitucional, el refuerzo de los controles de calidad y riesgos, la capacitación continua, la optimización del sistema de gestión documental y el fomento de la gestión del conocimiento, son fundamentales. Su aplicación integral no solo optimizará la eficiencia y efectividad de los proyectos, sino que también incrementará la probabilidad de que los resultados cumplan con los objetivos y estándares esperados, contribuyendo a consolidar una cultura de mejoramiento continuo y transparencia en la gestión del Fondo Adaptación.</w:t>
            </w:r>
          </w:p>
          <w:p w14:paraId="602C6E59" w14:textId="6673636B" w:rsidR="00C36520" w:rsidRPr="00C36520" w:rsidRDefault="00C36520" w:rsidP="00C36520">
            <w:pPr>
              <w:pStyle w:val="NormalWeb"/>
            </w:pPr>
          </w:p>
        </w:tc>
      </w:tr>
    </w:tbl>
    <w:p w14:paraId="140E3440" w14:textId="77777777" w:rsidR="00A53D43" w:rsidRPr="00F20438" w:rsidRDefault="00A53D43">
      <w:pPr>
        <w:rPr>
          <w:rFonts w:asciiTheme="minorHAnsi" w:hAnsiTheme="minorHAnsi"/>
          <w:sz w:val="20"/>
          <w:szCs w:val="20"/>
        </w:rPr>
      </w:pPr>
    </w:p>
    <w:sectPr w:rsidR="00A53D43" w:rsidRPr="00F20438" w:rsidSect="009F1D38">
      <w:headerReference w:type="default" r:id="rId14"/>
      <w:footerReference w:type="default" r:id="rId15"/>
      <w:headerReference w:type="first" r:id="rId16"/>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6F55" w14:textId="77777777" w:rsidR="00A4041F" w:rsidRDefault="00A4041F" w:rsidP="004A47BC">
      <w:r>
        <w:separator/>
      </w:r>
    </w:p>
  </w:endnote>
  <w:endnote w:type="continuationSeparator" w:id="0">
    <w:p w14:paraId="74FBD4B1" w14:textId="77777777" w:rsidR="00A4041F" w:rsidRDefault="00A4041F" w:rsidP="004A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Narrow-Bold">
    <w:altName w:val="Arial"/>
    <w:panose1 w:val="020B0706020202030204"/>
    <w:charset w:val="00"/>
    <w:family w:val="roman"/>
    <w:pitch w:val="default"/>
  </w:font>
  <w:font w:name="Raleway Heavy">
    <w:altName w:val="Trebuchet MS"/>
    <w:panose1 w:val="020B0604020202020204"/>
    <w:charset w:val="00"/>
    <w:family w:val="roman"/>
    <w:pitch w:val="default"/>
  </w:font>
  <w:font w:name="Raleway">
    <w:panose1 w:val="00000000000000000000"/>
    <w:charset w:val="00"/>
    <w:family w:val="auto"/>
    <w:pitch w:val="variable"/>
    <w:sig w:usb0="A00002FF" w:usb1="5000205B" w:usb2="00000000" w:usb3="00000000" w:csb0="00000197" w:csb1="00000000"/>
  </w:font>
  <w:font w:name="Raleway Bold">
    <w:altName w:val="Raleway"/>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E0607" w14:textId="77777777" w:rsidR="00F20438" w:rsidRPr="00D6113F" w:rsidRDefault="00F20438">
    <w:pPr>
      <w:tabs>
        <w:tab w:val="center" w:pos="4550"/>
        <w:tab w:val="left" w:pos="5818"/>
      </w:tabs>
      <w:ind w:right="260"/>
      <w:jc w:val="right"/>
      <w:rPr>
        <w:rFonts w:ascii="Aptos" w:hAnsi="Aptos"/>
        <w:color w:val="071320" w:themeColor="text2" w:themeShade="80"/>
        <w:sz w:val="18"/>
        <w:szCs w:val="18"/>
      </w:rPr>
    </w:pPr>
    <w:r w:rsidRPr="00D6113F">
      <w:rPr>
        <w:rFonts w:ascii="Aptos" w:hAnsi="Aptos"/>
        <w:color w:val="2C7FCE" w:themeColor="text2" w:themeTint="99"/>
        <w:spacing w:val="60"/>
        <w:sz w:val="18"/>
        <w:szCs w:val="18"/>
        <w:lang w:val="es-ES"/>
      </w:rPr>
      <w:t>Página</w:t>
    </w:r>
    <w:r w:rsidRPr="00D6113F">
      <w:rPr>
        <w:rFonts w:ascii="Aptos" w:hAnsi="Aptos"/>
        <w:color w:val="2C7FCE" w:themeColor="text2" w:themeTint="99"/>
        <w:sz w:val="18"/>
        <w:szCs w:val="18"/>
        <w:lang w:val="es-ES"/>
      </w:rPr>
      <w:t xml:space="preserve"> </w:t>
    </w:r>
    <w:r w:rsidRPr="00D6113F">
      <w:rPr>
        <w:rFonts w:ascii="Aptos" w:hAnsi="Aptos"/>
        <w:color w:val="0A1D30" w:themeColor="text2" w:themeShade="BF"/>
        <w:sz w:val="18"/>
        <w:szCs w:val="18"/>
      </w:rPr>
      <w:fldChar w:fldCharType="begin"/>
    </w:r>
    <w:r w:rsidRPr="00D6113F">
      <w:rPr>
        <w:rFonts w:ascii="Aptos" w:hAnsi="Aptos"/>
        <w:color w:val="0A1D30" w:themeColor="text2" w:themeShade="BF"/>
        <w:sz w:val="18"/>
        <w:szCs w:val="18"/>
      </w:rPr>
      <w:instrText>PAGE   \* MERGEFORMAT</w:instrText>
    </w:r>
    <w:r w:rsidRPr="00D6113F">
      <w:rPr>
        <w:rFonts w:ascii="Aptos" w:hAnsi="Aptos"/>
        <w:color w:val="0A1D30" w:themeColor="text2" w:themeShade="BF"/>
        <w:sz w:val="18"/>
        <w:szCs w:val="18"/>
      </w:rPr>
      <w:fldChar w:fldCharType="separate"/>
    </w:r>
    <w:r w:rsidRPr="00D6113F">
      <w:rPr>
        <w:rFonts w:ascii="Aptos" w:hAnsi="Aptos"/>
        <w:color w:val="0A1D30" w:themeColor="text2" w:themeShade="BF"/>
        <w:sz w:val="18"/>
        <w:szCs w:val="18"/>
        <w:lang w:val="es-ES"/>
      </w:rPr>
      <w:t>1</w:t>
    </w:r>
    <w:r w:rsidRPr="00D6113F">
      <w:rPr>
        <w:rFonts w:ascii="Aptos" w:hAnsi="Aptos"/>
        <w:color w:val="0A1D30" w:themeColor="text2" w:themeShade="BF"/>
        <w:sz w:val="18"/>
        <w:szCs w:val="18"/>
      </w:rPr>
      <w:fldChar w:fldCharType="end"/>
    </w:r>
    <w:r w:rsidRPr="00D6113F">
      <w:rPr>
        <w:rFonts w:ascii="Aptos" w:hAnsi="Aptos"/>
        <w:color w:val="0A1D30" w:themeColor="text2" w:themeShade="BF"/>
        <w:sz w:val="18"/>
        <w:szCs w:val="18"/>
        <w:lang w:val="es-ES"/>
      </w:rPr>
      <w:t xml:space="preserve"> | </w:t>
    </w:r>
    <w:r w:rsidRPr="00D6113F">
      <w:rPr>
        <w:rFonts w:ascii="Aptos" w:hAnsi="Aptos"/>
        <w:color w:val="0A1D30" w:themeColor="text2" w:themeShade="BF"/>
        <w:sz w:val="18"/>
        <w:szCs w:val="18"/>
      </w:rPr>
      <w:fldChar w:fldCharType="begin"/>
    </w:r>
    <w:r w:rsidRPr="00D6113F">
      <w:rPr>
        <w:rFonts w:ascii="Aptos" w:hAnsi="Aptos"/>
        <w:color w:val="0A1D30" w:themeColor="text2" w:themeShade="BF"/>
        <w:sz w:val="18"/>
        <w:szCs w:val="18"/>
      </w:rPr>
      <w:instrText>NUMPAGES  \* Arabic  \* MERGEFORMAT</w:instrText>
    </w:r>
    <w:r w:rsidRPr="00D6113F">
      <w:rPr>
        <w:rFonts w:ascii="Aptos" w:hAnsi="Aptos"/>
        <w:color w:val="0A1D30" w:themeColor="text2" w:themeShade="BF"/>
        <w:sz w:val="18"/>
        <w:szCs w:val="18"/>
      </w:rPr>
      <w:fldChar w:fldCharType="separate"/>
    </w:r>
    <w:r w:rsidRPr="00D6113F">
      <w:rPr>
        <w:rFonts w:ascii="Aptos" w:hAnsi="Aptos"/>
        <w:color w:val="0A1D30" w:themeColor="text2" w:themeShade="BF"/>
        <w:sz w:val="18"/>
        <w:szCs w:val="18"/>
        <w:lang w:val="es-ES"/>
      </w:rPr>
      <w:t>1</w:t>
    </w:r>
    <w:r w:rsidRPr="00D6113F">
      <w:rPr>
        <w:rFonts w:ascii="Aptos" w:hAnsi="Aptos"/>
        <w:color w:val="0A1D30" w:themeColor="text2" w:themeShade="BF"/>
        <w:sz w:val="18"/>
        <w:szCs w:val="18"/>
      </w:rPr>
      <w:fldChar w:fldCharType="end"/>
    </w:r>
  </w:p>
  <w:p w14:paraId="50EEEB14" w14:textId="77777777" w:rsidR="00F20438" w:rsidRDefault="00F2043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F6AE" w14:textId="77777777" w:rsidR="00A4041F" w:rsidRDefault="00A4041F" w:rsidP="004A47BC">
      <w:r>
        <w:separator/>
      </w:r>
    </w:p>
  </w:footnote>
  <w:footnote w:type="continuationSeparator" w:id="0">
    <w:p w14:paraId="7D46937C" w14:textId="77777777" w:rsidR="00A4041F" w:rsidRDefault="00A4041F" w:rsidP="004A4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Ind w:w="-1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542"/>
      <w:gridCol w:w="3971"/>
      <w:gridCol w:w="2268"/>
    </w:tblGrid>
    <w:tr w:rsidR="004A47BC" w:rsidRPr="005A2231" w14:paraId="2043850E" w14:textId="77777777" w:rsidTr="003B45C3">
      <w:trPr>
        <w:cantSplit/>
        <w:trHeight w:val="527"/>
      </w:trPr>
      <w:tc>
        <w:tcPr>
          <w:tcW w:w="3542" w:type="dxa"/>
        </w:tcPr>
        <w:p w14:paraId="222B4B15" w14:textId="20EA3B77" w:rsidR="004A47BC" w:rsidRPr="00D6113F" w:rsidRDefault="004A47BC" w:rsidP="004A47BC">
          <w:pPr>
            <w:pStyle w:val="Encabezado"/>
            <w:rPr>
              <w:rFonts w:ascii="Aptos" w:hAnsi="Aptos" w:cs="Arial"/>
              <w:b/>
              <w:bCs/>
              <w:sz w:val="22"/>
              <w:szCs w:val="22"/>
            </w:rPr>
          </w:pPr>
          <w:r w:rsidRPr="00D6113F">
            <w:rPr>
              <w:rFonts w:ascii="Aptos" w:hAnsi="Aptos" w:cs="Arial"/>
              <w:noProof/>
              <w:lang w:eastAsia="es-CO"/>
            </w:rPr>
            <w:drawing>
              <wp:anchor distT="0" distB="0" distL="114300" distR="114300" simplePos="0" relativeHeight="251659264" behindDoc="0" locked="0" layoutInCell="1" allowOverlap="1" wp14:anchorId="3B0FA85B" wp14:editId="0F33BE8F">
                <wp:simplePos x="0" y="0"/>
                <wp:positionH relativeFrom="column">
                  <wp:posOffset>311470</wp:posOffset>
                </wp:positionH>
                <wp:positionV relativeFrom="paragraph">
                  <wp:posOffset>49306</wp:posOffset>
                </wp:positionV>
                <wp:extent cx="1569808" cy="239680"/>
                <wp:effectExtent l="0" t="0" r="0" b="8255"/>
                <wp:wrapNone/>
                <wp:docPr id="893479136" name="Imagen 4" descr="Dibujo con letras blancas&#10;&#10;El contenido generado por IA puede ser incorrecto.">
                  <a:extLst xmlns:a="http://schemas.openxmlformats.org/drawingml/2006/main">
                    <a:ext uri="{FF2B5EF4-FFF2-40B4-BE49-F238E27FC236}">
                      <a16:creationId xmlns:a16="http://schemas.microsoft.com/office/drawing/2014/main" id="{A0C49E86-2AF9-422E-A50E-D114D2D96B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479136" name="Imagen 4" descr="Dibujo con letras blancas&#10;&#10;El contenido generado por IA puede ser incorrecto.">
                          <a:extLst>
                            <a:ext uri="{FF2B5EF4-FFF2-40B4-BE49-F238E27FC236}">
                              <a16:creationId xmlns:a16="http://schemas.microsoft.com/office/drawing/2014/main" id="{A0C49E86-2AF9-422E-A50E-D114D2D96B0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9808" cy="2396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71" w:type="dxa"/>
          <w:vAlign w:val="center"/>
        </w:tcPr>
        <w:p w14:paraId="71EC365F" w14:textId="77777777" w:rsidR="004A47BC" w:rsidRPr="00D6113F" w:rsidRDefault="004A47BC" w:rsidP="004A47BC">
          <w:pPr>
            <w:pStyle w:val="Encabezado"/>
            <w:jc w:val="center"/>
            <w:rPr>
              <w:rFonts w:ascii="Aptos" w:hAnsi="Aptos" w:cs="Arial"/>
              <w:b/>
              <w:bCs/>
              <w:sz w:val="22"/>
              <w:szCs w:val="22"/>
            </w:rPr>
          </w:pPr>
          <w:r w:rsidRPr="00D6113F">
            <w:rPr>
              <w:rFonts w:ascii="Aptos" w:hAnsi="Aptos" w:cs="Arial"/>
              <w:b/>
              <w:sz w:val="22"/>
              <w:szCs w:val="22"/>
            </w:rPr>
            <w:t>GESTIÓN DE PROYECTOS</w:t>
          </w:r>
        </w:p>
      </w:tc>
      <w:tc>
        <w:tcPr>
          <w:tcW w:w="2268" w:type="dxa"/>
          <w:vAlign w:val="center"/>
        </w:tcPr>
        <w:p w14:paraId="0DEEE13C" w14:textId="77777777" w:rsidR="004A47BC" w:rsidRPr="00D6113F" w:rsidRDefault="004A47BC" w:rsidP="004A47BC">
          <w:pPr>
            <w:pStyle w:val="Encabezado"/>
            <w:jc w:val="center"/>
            <w:rPr>
              <w:rFonts w:ascii="Aptos" w:hAnsi="Aptos" w:cs="Arial"/>
              <w:b/>
              <w:bCs/>
              <w:sz w:val="22"/>
              <w:szCs w:val="22"/>
            </w:rPr>
          </w:pPr>
          <w:r w:rsidRPr="00D6113F">
            <w:rPr>
              <w:rFonts w:ascii="Aptos" w:hAnsi="Aptos" w:cs="Arial"/>
              <w:b/>
              <w:sz w:val="20"/>
              <w:szCs w:val="20"/>
            </w:rPr>
            <w:t>IA-DC-001</w:t>
          </w:r>
        </w:p>
      </w:tc>
    </w:tr>
    <w:tr w:rsidR="004A47BC" w:rsidRPr="005A2231" w14:paraId="73C7E75D" w14:textId="77777777" w:rsidTr="003B45C3">
      <w:trPr>
        <w:cantSplit/>
        <w:trHeight w:val="805"/>
      </w:trPr>
      <w:tc>
        <w:tcPr>
          <w:tcW w:w="3542" w:type="dxa"/>
        </w:tcPr>
        <w:p w14:paraId="59541DC9" w14:textId="77777777" w:rsidR="004A47BC" w:rsidRPr="00D6113F" w:rsidRDefault="004A47BC" w:rsidP="004A47BC">
          <w:pPr>
            <w:pStyle w:val="Encabezado"/>
            <w:jc w:val="center"/>
            <w:rPr>
              <w:rFonts w:ascii="Aptos" w:hAnsi="Aptos" w:cs="Arial"/>
              <w:b/>
              <w:bCs/>
              <w:sz w:val="22"/>
              <w:szCs w:val="22"/>
            </w:rPr>
          </w:pPr>
          <w:r w:rsidRPr="00D6113F">
            <w:rPr>
              <w:rFonts w:ascii="Aptos" w:hAnsi="Aptos" w:cs="Arial"/>
              <w:b/>
              <w:bCs/>
              <w:noProof/>
              <w:sz w:val="22"/>
              <w:szCs w:val="22"/>
            </w:rPr>
            <w:drawing>
              <wp:anchor distT="0" distB="0" distL="114300" distR="114300" simplePos="0" relativeHeight="251660288" behindDoc="0" locked="0" layoutInCell="1" allowOverlap="1" wp14:anchorId="28444055" wp14:editId="406C21F4">
                <wp:simplePos x="0" y="0"/>
                <wp:positionH relativeFrom="column">
                  <wp:posOffset>501705</wp:posOffset>
                </wp:positionH>
                <wp:positionV relativeFrom="paragraph">
                  <wp:posOffset>56067</wp:posOffset>
                </wp:positionV>
                <wp:extent cx="1125220" cy="419100"/>
                <wp:effectExtent l="0" t="0" r="0" b="0"/>
                <wp:wrapSquare wrapText="bothSides"/>
                <wp:docPr id="1480867151" name="Imagen 3" descr="Logotipo&#10;&#10;El contenido generado por IA puede ser incorrecto.">
                  <a:extLst xmlns:a="http://schemas.openxmlformats.org/drawingml/2006/main">
                    <a:ext uri="{FF2B5EF4-FFF2-40B4-BE49-F238E27FC236}">
                      <a16:creationId xmlns:a16="http://schemas.microsoft.com/office/drawing/2014/main" id="{35A7A02E-E184-833D-1B17-C428AD6530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descr="Logotipo&#10;&#10;El contenido generado por IA puede ser incorrecto.">
                          <a:extLst>
                            <a:ext uri="{FF2B5EF4-FFF2-40B4-BE49-F238E27FC236}">
                              <a16:creationId xmlns:a16="http://schemas.microsoft.com/office/drawing/2014/main" id="{35A7A02E-E184-833D-1B17-C428AD653065}"/>
                            </a:ext>
                          </a:extLst>
                        </pic:cNvPr>
                        <pic:cNvPicPr>
                          <a:picLocks noChangeAspect="1"/>
                        </pic:cNvPicPr>
                      </pic:nvPicPr>
                      <pic:blipFill>
                        <a:blip r:embed="rId2">
                          <a:extLst>
                            <a:ext uri="{28A0092B-C50C-407E-A947-70E740481C1C}">
                              <a14:useLocalDpi xmlns:a14="http://schemas.microsoft.com/office/drawing/2010/main" val="0"/>
                            </a:ext>
                          </a:extLst>
                        </a:blip>
                        <a:srcRect t="25470"/>
                        <a:stretch/>
                      </pic:blipFill>
                      <pic:spPr bwMode="auto">
                        <a:xfrm>
                          <a:off x="0" y="0"/>
                          <a:ext cx="1125220" cy="419100"/>
                        </a:xfrm>
                        <a:custGeom>
                          <a:avLst/>
                          <a:gdLst/>
                          <a:ahLst/>
                          <a:cxnLst/>
                          <a:rect l="l" t="t" r="r" b="b"/>
                          <a:pathLst>
                            <a:path w="4141760" h="4377846">
                              <a:moveTo>
                                <a:pt x="0" y="0"/>
                              </a:moveTo>
                              <a:lnTo>
                                <a:pt x="4141760" y="0"/>
                              </a:lnTo>
                              <a:lnTo>
                                <a:pt x="4141760" y="4377846"/>
                              </a:lnTo>
                              <a:lnTo>
                                <a:pt x="0" y="4377846"/>
                              </a:lnTo>
                              <a:close/>
                            </a:path>
                          </a:pathLst>
                        </a:custGeom>
                        <a:noFill/>
                      </pic:spPr>
                    </pic:pic>
                  </a:graphicData>
                </a:graphic>
                <wp14:sizeRelH relativeFrom="page">
                  <wp14:pctWidth>0</wp14:pctWidth>
                </wp14:sizeRelH>
                <wp14:sizeRelV relativeFrom="page">
                  <wp14:pctHeight>0</wp14:pctHeight>
                </wp14:sizeRelV>
              </wp:anchor>
            </w:drawing>
          </w:r>
        </w:p>
      </w:tc>
      <w:tc>
        <w:tcPr>
          <w:tcW w:w="3971" w:type="dxa"/>
          <w:vAlign w:val="center"/>
        </w:tcPr>
        <w:p w14:paraId="3BF6509C" w14:textId="24D22100" w:rsidR="004A47BC" w:rsidRPr="00D6113F" w:rsidRDefault="004A47BC" w:rsidP="00177041">
          <w:pPr>
            <w:pStyle w:val="Encabezado"/>
            <w:jc w:val="center"/>
            <w:rPr>
              <w:rFonts w:ascii="Aptos" w:hAnsi="Aptos" w:cs="Arial"/>
              <w:b/>
              <w:bCs/>
              <w:sz w:val="22"/>
              <w:szCs w:val="22"/>
            </w:rPr>
          </w:pPr>
          <w:r w:rsidRPr="00D6113F">
            <w:rPr>
              <w:rStyle w:val="fontstyle01"/>
              <w:rFonts w:ascii="Aptos" w:hAnsi="Aptos"/>
            </w:rPr>
            <w:t>INFORME ESPECIAL</w:t>
          </w:r>
        </w:p>
      </w:tc>
      <w:tc>
        <w:tcPr>
          <w:tcW w:w="2268" w:type="dxa"/>
          <w:vAlign w:val="center"/>
        </w:tcPr>
        <w:p w14:paraId="737F4005" w14:textId="77777777" w:rsidR="004A47BC" w:rsidRPr="00D6113F" w:rsidRDefault="004A47BC" w:rsidP="004A47BC">
          <w:pPr>
            <w:pStyle w:val="Encabezado"/>
            <w:jc w:val="center"/>
            <w:rPr>
              <w:rFonts w:ascii="Aptos" w:hAnsi="Aptos" w:cs="Arial"/>
              <w:b/>
              <w:sz w:val="20"/>
              <w:szCs w:val="20"/>
            </w:rPr>
          </w:pPr>
          <w:r w:rsidRPr="00D6113F">
            <w:rPr>
              <w:rFonts w:ascii="Aptos" w:hAnsi="Aptos" w:cs="Arial"/>
              <w:b/>
              <w:sz w:val="20"/>
              <w:szCs w:val="20"/>
            </w:rPr>
            <w:t xml:space="preserve">Página </w:t>
          </w:r>
          <w:r w:rsidRPr="00D6113F">
            <w:rPr>
              <w:rFonts w:ascii="Aptos" w:hAnsi="Aptos" w:cs="Arial"/>
              <w:b/>
              <w:sz w:val="20"/>
              <w:szCs w:val="20"/>
            </w:rPr>
            <w:fldChar w:fldCharType="begin"/>
          </w:r>
          <w:r w:rsidRPr="00D6113F">
            <w:rPr>
              <w:rFonts w:ascii="Aptos" w:hAnsi="Aptos" w:cs="Arial"/>
              <w:b/>
              <w:sz w:val="20"/>
              <w:szCs w:val="20"/>
            </w:rPr>
            <w:instrText xml:space="preserve"> PAGE </w:instrText>
          </w:r>
          <w:r w:rsidRPr="00D6113F">
            <w:rPr>
              <w:rFonts w:ascii="Aptos" w:hAnsi="Aptos" w:cs="Arial"/>
              <w:b/>
              <w:sz w:val="20"/>
              <w:szCs w:val="20"/>
            </w:rPr>
            <w:fldChar w:fldCharType="separate"/>
          </w:r>
          <w:r w:rsidRPr="00D6113F">
            <w:rPr>
              <w:rFonts w:ascii="Aptos" w:hAnsi="Aptos" w:cs="Arial"/>
              <w:b/>
              <w:noProof/>
              <w:sz w:val="20"/>
              <w:szCs w:val="20"/>
            </w:rPr>
            <w:t>10</w:t>
          </w:r>
          <w:r w:rsidRPr="00D6113F">
            <w:rPr>
              <w:rFonts w:ascii="Aptos" w:hAnsi="Aptos" w:cs="Arial"/>
              <w:b/>
              <w:sz w:val="20"/>
              <w:szCs w:val="20"/>
            </w:rPr>
            <w:fldChar w:fldCharType="end"/>
          </w:r>
          <w:r w:rsidRPr="00D6113F">
            <w:rPr>
              <w:rFonts w:ascii="Aptos" w:hAnsi="Aptos" w:cs="Arial"/>
              <w:b/>
              <w:sz w:val="20"/>
              <w:szCs w:val="20"/>
            </w:rPr>
            <w:t xml:space="preserve"> de </w:t>
          </w:r>
          <w:r w:rsidRPr="00D6113F">
            <w:rPr>
              <w:rFonts w:ascii="Aptos" w:hAnsi="Aptos" w:cs="Arial"/>
              <w:b/>
              <w:sz w:val="20"/>
              <w:szCs w:val="20"/>
            </w:rPr>
            <w:fldChar w:fldCharType="begin"/>
          </w:r>
          <w:r w:rsidRPr="00D6113F">
            <w:rPr>
              <w:rFonts w:ascii="Aptos" w:hAnsi="Aptos" w:cs="Arial"/>
              <w:b/>
              <w:sz w:val="20"/>
              <w:szCs w:val="20"/>
            </w:rPr>
            <w:instrText xml:space="preserve"> NUMPAGES  </w:instrText>
          </w:r>
          <w:r w:rsidRPr="00D6113F">
            <w:rPr>
              <w:rFonts w:ascii="Aptos" w:hAnsi="Aptos" w:cs="Arial"/>
              <w:b/>
              <w:sz w:val="20"/>
              <w:szCs w:val="20"/>
            </w:rPr>
            <w:fldChar w:fldCharType="separate"/>
          </w:r>
          <w:r w:rsidRPr="00D6113F">
            <w:rPr>
              <w:rFonts w:ascii="Aptos" w:hAnsi="Aptos" w:cs="Arial"/>
              <w:b/>
              <w:noProof/>
              <w:sz w:val="20"/>
              <w:szCs w:val="20"/>
            </w:rPr>
            <w:t>10</w:t>
          </w:r>
          <w:r w:rsidRPr="00D6113F">
            <w:rPr>
              <w:rFonts w:ascii="Aptos" w:hAnsi="Aptos" w:cs="Arial"/>
              <w:b/>
              <w:sz w:val="20"/>
              <w:szCs w:val="20"/>
            </w:rPr>
            <w:fldChar w:fldCharType="end"/>
          </w:r>
        </w:p>
      </w:tc>
    </w:tr>
    <w:tr w:rsidR="004A47BC" w:rsidRPr="005A2231" w14:paraId="4A22EB96" w14:textId="77777777" w:rsidTr="003B45C3">
      <w:trPr>
        <w:cantSplit/>
        <w:trHeight w:val="379"/>
      </w:trPr>
      <w:tc>
        <w:tcPr>
          <w:tcW w:w="9781" w:type="dxa"/>
          <w:gridSpan w:val="3"/>
          <w:vAlign w:val="center"/>
        </w:tcPr>
        <w:p w14:paraId="5703DC2F" w14:textId="6F3C7363" w:rsidR="004A47BC" w:rsidRPr="00D6113F" w:rsidRDefault="004A47BC" w:rsidP="004A47BC">
          <w:pPr>
            <w:pStyle w:val="Encabezado"/>
            <w:jc w:val="both"/>
            <w:rPr>
              <w:rFonts w:ascii="Aptos" w:hAnsi="Aptos" w:cs="Arial"/>
              <w:b/>
              <w:sz w:val="18"/>
              <w:szCs w:val="18"/>
            </w:rPr>
          </w:pPr>
          <w:r w:rsidRPr="00D6113F">
            <w:rPr>
              <w:rFonts w:ascii="Aptos" w:hAnsi="Aptos" w:cs="Arial"/>
              <w:b/>
              <w:bCs/>
              <w:sz w:val="18"/>
              <w:szCs w:val="18"/>
            </w:rPr>
            <w:t>Nombre del Proyecto:</w:t>
          </w:r>
          <w:r w:rsidRPr="00D6113F">
            <w:rPr>
              <w:rFonts w:ascii="Aptos" w:hAnsi="Aptos" w:cs="Arial"/>
              <w:b/>
              <w:noProof/>
              <w:sz w:val="18"/>
              <w:szCs w:val="18"/>
              <w:lang w:eastAsia="es-CO"/>
            </w:rPr>
            <w:t xml:space="preserve"> </w:t>
          </w:r>
          <w:r w:rsidRPr="00D6113F">
            <w:rPr>
              <w:rFonts w:ascii="Aptos" w:hAnsi="Aptos" w:cs="Arial"/>
              <w:bCs/>
              <w:noProof/>
              <w:sz w:val="18"/>
              <w:szCs w:val="18"/>
              <w:lang w:eastAsia="es-CO"/>
            </w:rPr>
            <w:t>Consulto</w:t>
          </w:r>
          <w:r w:rsidR="003B45C3" w:rsidRPr="00D6113F">
            <w:rPr>
              <w:rFonts w:ascii="Aptos" w:hAnsi="Aptos" w:cs="Arial"/>
              <w:bCs/>
              <w:noProof/>
              <w:sz w:val="18"/>
              <w:szCs w:val="18"/>
              <w:lang w:eastAsia="es-CO"/>
            </w:rPr>
            <w:t>ría</w:t>
          </w:r>
          <w:r w:rsidRPr="00D6113F">
            <w:rPr>
              <w:rFonts w:ascii="Aptos" w:hAnsi="Aptos" w:cs="Arial"/>
              <w:bCs/>
              <w:noProof/>
              <w:sz w:val="18"/>
              <w:szCs w:val="18"/>
              <w:lang w:eastAsia="es-CO"/>
            </w:rPr>
            <w:t xml:space="preserve"> para realizar la auditoría técnica integral con enfoque preventivo (ATIP), sobre los actos y contratos del Fondo Adaptación en el marco de su misionalidad.</w:t>
          </w:r>
        </w:p>
      </w:tc>
    </w:tr>
    <w:tr w:rsidR="004A47BC" w:rsidRPr="005A2231" w14:paraId="09E897AE" w14:textId="77777777" w:rsidTr="003B45C3">
      <w:trPr>
        <w:cantSplit/>
        <w:trHeight w:val="314"/>
      </w:trPr>
      <w:tc>
        <w:tcPr>
          <w:tcW w:w="9781" w:type="dxa"/>
          <w:gridSpan w:val="3"/>
          <w:vAlign w:val="center"/>
        </w:tcPr>
        <w:p w14:paraId="38B4C4A4" w14:textId="77777777" w:rsidR="004A47BC" w:rsidRPr="00D6113F" w:rsidRDefault="004A47BC" w:rsidP="004A47BC">
          <w:pPr>
            <w:pStyle w:val="Encabezado"/>
            <w:rPr>
              <w:rFonts w:ascii="Aptos" w:hAnsi="Aptos" w:cs="Arial"/>
              <w:b/>
              <w:bCs/>
              <w:sz w:val="18"/>
              <w:szCs w:val="18"/>
            </w:rPr>
          </w:pPr>
          <w:r w:rsidRPr="00D6113F">
            <w:rPr>
              <w:rFonts w:ascii="Aptos" w:hAnsi="Aptos" w:cs="Arial"/>
              <w:b/>
              <w:bCs/>
              <w:sz w:val="18"/>
              <w:szCs w:val="18"/>
            </w:rPr>
            <w:t>Contrato de: Consultoría No FA-CM-I-S-345-2024</w:t>
          </w:r>
        </w:p>
      </w:tc>
    </w:tr>
  </w:tbl>
  <w:p w14:paraId="5C8CD745" w14:textId="77777777" w:rsidR="004A47BC" w:rsidRPr="004A47BC" w:rsidRDefault="004A47BC">
    <w:pPr>
      <w:pStyle w:val="Encabezado"/>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AD79B" w14:textId="3B92B2E3" w:rsidR="009F1D38" w:rsidRDefault="009F1D38">
    <w:pPr>
      <w:pStyle w:val="Encabezado"/>
    </w:pPr>
    <w:r w:rsidRPr="00EF4DA9">
      <w:rPr>
        <w:noProof/>
      </w:rPr>
      <w:drawing>
        <wp:anchor distT="0" distB="0" distL="114300" distR="114300" simplePos="0" relativeHeight="251662336" behindDoc="0" locked="0" layoutInCell="1" allowOverlap="1" wp14:anchorId="05E58DC7" wp14:editId="59082250">
          <wp:simplePos x="0" y="0"/>
          <wp:positionH relativeFrom="margin">
            <wp:posOffset>-3171299</wp:posOffset>
          </wp:positionH>
          <wp:positionV relativeFrom="paragraph">
            <wp:posOffset>2245995</wp:posOffset>
          </wp:positionV>
          <wp:extent cx="11550650" cy="10762615"/>
          <wp:effectExtent l="0" t="0" r="0" b="0"/>
          <wp:wrapThrough wrapText="bothSides">
            <wp:wrapPolygon edited="0">
              <wp:start x="18406" y="8335"/>
              <wp:lineTo x="14107" y="12872"/>
              <wp:lineTo x="13276" y="13279"/>
              <wp:lineTo x="12991" y="13305"/>
              <wp:lineTo x="0" y="15471"/>
              <wp:lineTo x="0" y="15675"/>
              <wp:lineTo x="24" y="16134"/>
              <wp:lineTo x="855" y="21563"/>
              <wp:lineTo x="1187" y="21563"/>
              <wp:lineTo x="1282" y="21563"/>
              <wp:lineTo x="13917" y="19422"/>
              <wp:lineTo x="13917" y="19397"/>
              <wp:lineTo x="16268" y="19014"/>
              <wp:lineTo x="16221" y="18581"/>
              <wp:lineTo x="15841" y="16134"/>
              <wp:lineTo x="16791" y="16134"/>
              <wp:lineTo x="18548" y="15879"/>
              <wp:lineTo x="18524" y="8335"/>
              <wp:lineTo x="18406" y="8335"/>
            </wp:wrapPolygon>
          </wp:wrapThrough>
          <wp:docPr id="21" name="Imagen 20" descr="Un conjunto de letras negras en un fondo negro&#10;&#10;El contenido generado por IA puede ser incorrecto.">
            <a:extLst xmlns:a="http://schemas.openxmlformats.org/drawingml/2006/main">
              <a:ext uri="{FF2B5EF4-FFF2-40B4-BE49-F238E27FC236}">
                <a16:creationId xmlns:a16="http://schemas.microsoft.com/office/drawing/2014/main" id="{A6711857-B73E-AF4B-208A-88B5E931EF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20" descr="Un conjunto de letras negras en un fondo negro&#10;&#10;El contenido generado por IA puede ser incorrecto.">
                    <a:extLst>
                      <a:ext uri="{FF2B5EF4-FFF2-40B4-BE49-F238E27FC236}">
                        <a16:creationId xmlns:a16="http://schemas.microsoft.com/office/drawing/2014/main" id="{A6711857-B73E-AF4B-208A-88B5E931EFDB}"/>
                      </a:ext>
                    </a:extLst>
                  </pic:cNvPr>
                  <pic:cNvPicPr>
                    <a:picLocks noChangeAspect="1"/>
                  </pic:cNvPicPr>
                </pic:nvPicPr>
                <pic:blipFill rotWithShape="1">
                  <a:blip r:embed="rId1">
                    <a:extLst>
                      <a:ext uri="{28A0092B-C50C-407E-A947-70E740481C1C}">
                        <a14:useLocalDpi xmlns:a14="http://schemas.microsoft.com/office/drawing/2010/main" val="0"/>
                      </a:ext>
                    </a:extLst>
                  </a:blip>
                  <a:srcRect t="24875"/>
                  <a:stretch>
                    <a:fillRect/>
                  </a:stretch>
                </pic:blipFill>
                <pic:spPr bwMode="auto">
                  <a:xfrm>
                    <a:off x="0" y="0"/>
                    <a:ext cx="11550650" cy="107626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1A2"/>
    <w:multiLevelType w:val="multilevel"/>
    <w:tmpl w:val="BDEEF6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EC0DC7"/>
    <w:multiLevelType w:val="hybridMultilevel"/>
    <w:tmpl w:val="0DACC6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08735D7A"/>
    <w:multiLevelType w:val="hybridMultilevel"/>
    <w:tmpl w:val="A6FCBE4A"/>
    <w:lvl w:ilvl="0" w:tplc="E8C8FABC">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0C042CEF"/>
    <w:multiLevelType w:val="hybridMultilevel"/>
    <w:tmpl w:val="39D2798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C902228"/>
    <w:multiLevelType w:val="hybridMultilevel"/>
    <w:tmpl w:val="46FE1624"/>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139163B1"/>
    <w:multiLevelType w:val="hybridMultilevel"/>
    <w:tmpl w:val="7C74DF56"/>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1A9D3F39"/>
    <w:multiLevelType w:val="hybridMultilevel"/>
    <w:tmpl w:val="3760C9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1AC24745"/>
    <w:multiLevelType w:val="multilevel"/>
    <w:tmpl w:val="AE0CAF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E2D578C"/>
    <w:multiLevelType w:val="hybridMultilevel"/>
    <w:tmpl w:val="9B44F6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E7067A0"/>
    <w:multiLevelType w:val="hybridMultilevel"/>
    <w:tmpl w:val="3760C9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24C43B7C"/>
    <w:multiLevelType w:val="hybridMultilevel"/>
    <w:tmpl w:val="71B6C4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D21CF5"/>
    <w:multiLevelType w:val="multilevel"/>
    <w:tmpl w:val="0E26480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6507BDE"/>
    <w:multiLevelType w:val="hybridMultilevel"/>
    <w:tmpl w:val="8F2AC990"/>
    <w:lvl w:ilvl="0" w:tplc="280A000F">
      <w:start w:val="1"/>
      <w:numFmt w:val="decimal"/>
      <w:lvlText w:val="%1."/>
      <w:lvlJc w:val="left"/>
      <w:pPr>
        <w:ind w:left="720" w:hanging="360"/>
      </w:pPr>
      <w:rPr>
        <w:rFont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3350321F"/>
    <w:multiLevelType w:val="hybridMultilevel"/>
    <w:tmpl w:val="04F0A7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3520F6E"/>
    <w:multiLevelType w:val="hybridMultilevel"/>
    <w:tmpl w:val="3760C9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5" w15:restartNumberingAfterBreak="0">
    <w:nsid w:val="37AF6547"/>
    <w:multiLevelType w:val="hybridMultilevel"/>
    <w:tmpl w:val="3760C988"/>
    <w:lvl w:ilvl="0" w:tplc="1FD0EE64">
      <w:start w:val="1"/>
      <w:numFmt w:val="decimal"/>
      <w:lvlText w:val="%1."/>
      <w:lvlJc w:val="left"/>
      <w:pPr>
        <w:tabs>
          <w:tab w:val="num" w:pos="720"/>
        </w:tabs>
        <w:ind w:left="720" w:hanging="360"/>
      </w:pPr>
    </w:lvl>
    <w:lvl w:ilvl="1" w:tplc="30ACBF72">
      <w:start w:val="1"/>
      <w:numFmt w:val="decimal"/>
      <w:lvlText w:val="%2."/>
      <w:lvlJc w:val="left"/>
      <w:pPr>
        <w:tabs>
          <w:tab w:val="num" w:pos="1440"/>
        </w:tabs>
        <w:ind w:left="1440" w:hanging="360"/>
      </w:pPr>
    </w:lvl>
    <w:lvl w:ilvl="2" w:tplc="20F0FDCE">
      <w:start w:val="1"/>
      <w:numFmt w:val="decimal"/>
      <w:lvlText w:val="%3."/>
      <w:lvlJc w:val="left"/>
      <w:pPr>
        <w:tabs>
          <w:tab w:val="num" w:pos="2160"/>
        </w:tabs>
        <w:ind w:left="2160" w:hanging="360"/>
      </w:pPr>
    </w:lvl>
    <w:lvl w:ilvl="3" w:tplc="81CE625C" w:tentative="1">
      <w:start w:val="1"/>
      <w:numFmt w:val="decimal"/>
      <w:lvlText w:val="%4."/>
      <w:lvlJc w:val="left"/>
      <w:pPr>
        <w:tabs>
          <w:tab w:val="num" w:pos="2880"/>
        </w:tabs>
        <w:ind w:left="2880" w:hanging="360"/>
      </w:pPr>
    </w:lvl>
    <w:lvl w:ilvl="4" w:tplc="DD54637A" w:tentative="1">
      <w:start w:val="1"/>
      <w:numFmt w:val="decimal"/>
      <w:lvlText w:val="%5."/>
      <w:lvlJc w:val="left"/>
      <w:pPr>
        <w:tabs>
          <w:tab w:val="num" w:pos="3600"/>
        </w:tabs>
        <w:ind w:left="3600" w:hanging="360"/>
      </w:pPr>
    </w:lvl>
    <w:lvl w:ilvl="5" w:tplc="A1606AC0" w:tentative="1">
      <w:start w:val="1"/>
      <w:numFmt w:val="decimal"/>
      <w:lvlText w:val="%6."/>
      <w:lvlJc w:val="left"/>
      <w:pPr>
        <w:tabs>
          <w:tab w:val="num" w:pos="4320"/>
        </w:tabs>
        <w:ind w:left="4320" w:hanging="360"/>
      </w:pPr>
    </w:lvl>
    <w:lvl w:ilvl="6" w:tplc="A4AE1DB0" w:tentative="1">
      <w:start w:val="1"/>
      <w:numFmt w:val="decimal"/>
      <w:lvlText w:val="%7."/>
      <w:lvlJc w:val="left"/>
      <w:pPr>
        <w:tabs>
          <w:tab w:val="num" w:pos="5040"/>
        </w:tabs>
        <w:ind w:left="5040" w:hanging="360"/>
      </w:pPr>
    </w:lvl>
    <w:lvl w:ilvl="7" w:tplc="694ADAC8" w:tentative="1">
      <w:start w:val="1"/>
      <w:numFmt w:val="decimal"/>
      <w:lvlText w:val="%8."/>
      <w:lvlJc w:val="left"/>
      <w:pPr>
        <w:tabs>
          <w:tab w:val="num" w:pos="5760"/>
        </w:tabs>
        <w:ind w:left="5760" w:hanging="360"/>
      </w:pPr>
    </w:lvl>
    <w:lvl w:ilvl="8" w:tplc="B8A8AEEA" w:tentative="1">
      <w:start w:val="1"/>
      <w:numFmt w:val="decimal"/>
      <w:lvlText w:val="%9."/>
      <w:lvlJc w:val="left"/>
      <w:pPr>
        <w:tabs>
          <w:tab w:val="num" w:pos="6480"/>
        </w:tabs>
        <w:ind w:left="6480" w:hanging="360"/>
      </w:pPr>
    </w:lvl>
  </w:abstractNum>
  <w:abstractNum w:abstractNumId="16" w15:restartNumberingAfterBreak="0">
    <w:nsid w:val="3F781AC4"/>
    <w:multiLevelType w:val="hybridMultilevel"/>
    <w:tmpl w:val="3760C9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7" w15:restartNumberingAfterBreak="0">
    <w:nsid w:val="3FE905E1"/>
    <w:multiLevelType w:val="multilevel"/>
    <w:tmpl w:val="8D509CBA"/>
    <w:lvl w:ilvl="0">
      <w:start w:val="1"/>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451168A8"/>
    <w:multiLevelType w:val="multilevel"/>
    <w:tmpl w:val="BDEEF6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14038A"/>
    <w:multiLevelType w:val="hybridMultilevel"/>
    <w:tmpl w:val="131ECD3E"/>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9F5B38"/>
    <w:multiLevelType w:val="multilevel"/>
    <w:tmpl w:val="627A6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423748"/>
    <w:multiLevelType w:val="hybridMultilevel"/>
    <w:tmpl w:val="0C08E4A8"/>
    <w:lvl w:ilvl="0" w:tplc="989AB2C6">
      <w:numFmt w:val="bullet"/>
      <w:lvlText w:val="-"/>
      <w:lvlJc w:val="left"/>
      <w:pPr>
        <w:ind w:left="720" w:hanging="360"/>
      </w:pPr>
      <w:rPr>
        <w:rFonts w:ascii="Calibri" w:eastAsiaTheme="minorHAnsi"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4EDD36B6"/>
    <w:multiLevelType w:val="multilevel"/>
    <w:tmpl w:val="2460E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F2370A"/>
    <w:multiLevelType w:val="multilevel"/>
    <w:tmpl w:val="96A813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A34EEB"/>
    <w:multiLevelType w:val="multilevel"/>
    <w:tmpl w:val="BDEEF6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F57A52"/>
    <w:multiLevelType w:val="hybridMultilevel"/>
    <w:tmpl w:val="3760C9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6" w15:restartNumberingAfterBreak="0">
    <w:nsid w:val="59630271"/>
    <w:multiLevelType w:val="multilevel"/>
    <w:tmpl w:val="34842208"/>
    <w:lvl w:ilvl="0">
      <w:start w:val="1"/>
      <w:numFmt w:val="decimal"/>
      <w:lvlText w:val="%1."/>
      <w:lvlJc w:val="left"/>
      <w:pPr>
        <w:ind w:left="720" w:hanging="360"/>
      </w:pPr>
      <w:rPr>
        <w:rFonts w:hint="default"/>
      </w:rPr>
    </w:lvl>
    <w:lvl w:ilvl="1">
      <w:start w:val="5"/>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80014D"/>
    <w:multiLevelType w:val="hybridMultilevel"/>
    <w:tmpl w:val="3760C9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8" w15:restartNumberingAfterBreak="0">
    <w:nsid w:val="5DC4720C"/>
    <w:multiLevelType w:val="hybridMultilevel"/>
    <w:tmpl w:val="3760C9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 w15:restartNumberingAfterBreak="0">
    <w:nsid w:val="5FE8169A"/>
    <w:multiLevelType w:val="hybridMultilevel"/>
    <w:tmpl w:val="131ECD3E"/>
    <w:lvl w:ilvl="0" w:tplc="6D8E6C0A">
      <w:start w:val="1"/>
      <w:numFmt w:val="decimal"/>
      <w:lvlText w:val="%1."/>
      <w:lvlJc w:val="left"/>
      <w:pPr>
        <w:ind w:left="720" w:hanging="360"/>
      </w:pPr>
      <w:rPr>
        <w:rFonts w:hint="default"/>
        <w:b w:val="0"/>
        <w:bC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0671A17"/>
    <w:multiLevelType w:val="multilevel"/>
    <w:tmpl w:val="48B0DC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86384B"/>
    <w:multiLevelType w:val="hybridMultilevel"/>
    <w:tmpl w:val="3760C9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2" w15:restartNumberingAfterBreak="0">
    <w:nsid w:val="654E1CBE"/>
    <w:multiLevelType w:val="hybridMultilevel"/>
    <w:tmpl w:val="131ECD3E"/>
    <w:lvl w:ilvl="0" w:tplc="FFFFFFFF">
      <w:start w:val="1"/>
      <w:numFmt w:val="decimal"/>
      <w:lvlText w:val="%1."/>
      <w:lvlJc w:val="left"/>
      <w:pPr>
        <w:ind w:left="720" w:hanging="360"/>
      </w:pPr>
      <w:rPr>
        <w:rFonts w:hint="default"/>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5E01A66"/>
    <w:multiLevelType w:val="hybridMultilevel"/>
    <w:tmpl w:val="3760C98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4" w15:restartNumberingAfterBreak="0">
    <w:nsid w:val="686833F4"/>
    <w:multiLevelType w:val="multilevel"/>
    <w:tmpl w:val="BDEEF6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A0633C1"/>
    <w:multiLevelType w:val="hybridMultilevel"/>
    <w:tmpl w:val="783874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6DE41E4C"/>
    <w:multiLevelType w:val="multilevel"/>
    <w:tmpl w:val="FF585E8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FCA6EB3"/>
    <w:multiLevelType w:val="hybridMultilevel"/>
    <w:tmpl w:val="39D279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BF2EBF"/>
    <w:multiLevelType w:val="hybridMultilevel"/>
    <w:tmpl w:val="331ABA5E"/>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93775BF"/>
    <w:multiLevelType w:val="multilevel"/>
    <w:tmpl w:val="03FE6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1D7CB9"/>
    <w:multiLevelType w:val="hybridMultilevel"/>
    <w:tmpl w:val="455673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C145D2C"/>
    <w:multiLevelType w:val="multilevel"/>
    <w:tmpl w:val="48B0DC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6A7454"/>
    <w:multiLevelType w:val="hybridMultilevel"/>
    <w:tmpl w:val="078003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FF52664"/>
    <w:multiLevelType w:val="hybridMultilevel"/>
    <w:tmpl w:val="2DDCCE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7402326">
    <w:abstractNumId w:val="42"/>
  </w:num>
  <w:num w:numId="2" w16cid:durableId="1278483958">
    <w:abstractNumId w:val="8"/>
  </w:num>
  <w:num w:numId="3" w16cid:durableId="610668605">
    <w:abstractNumId w:val="22"/>
  </w:num>
  <w:num w:numId="4" w16cid:durableId="202207909">
    <w:abstractNumId w:val="26"/>
  </w:num>
  <w:num w:numId="5" w16cid:durableId="413866929">
    <w:abstractNumId w:val="43"/>
  </w:num>
  <w:num w:numId="6" w16cid:durableId="2109697878">
    <w:abstractNumId w:val="40"/>
  </w:num>
  <w:num w:numId="7" w16cid:durableId="1537429970">
    <w:abstractNumId w:val="10"/>
  </w:num>
  <w:num w:numId="8" w16cid:durableId="324361059">
    <w:abstractNumId w:val="21"/>
  </w:num>
  <w:num w:numId="9" w16cid:durableId="169374141">
    <w:abstractNumId w:val="35"/>
  </w:num>
  <w:num w:numId="10" w16cid:durableId="736130711">
    <w:abstractNumId w:val="4"/>
  </w:num>
  <w:num w:numId="11" w16cid:durableId="769393737">
    <w:abstractNumId w:val="1"/>
  </w:num>
  <w:num w:numId="12" w16cid:durableId="583564104">
    <w:abstractNumId w:val="5"/>
  </w:num>
  <w:num w:numId="13" w16cid:durableId="642469611">
    <w:abstractNumId w:val="2"/>
  </w:num>
  <w:num w:numId="14" w16cid:durableId="1446845888">
    <w:abstractNumId w:val="39"/>
  </w:num>
  <w:num w:numId="15" w16cid:durableId="1044988260">
    <w:abstractNumId w:val="12"/>
  </w:num>
  <w:num w:numId="16" w16cid:durableId="1908758067">
    <w:abstractNumId w:val="15"/>
  </w:num>
  <w:num w:numId="17" w16cid:durableId="388262636">
    <w:abstractNumId w:val="13"/>
  </w:num>
  <w:num w:numId="18" w16cid:durableId="385299802">
    <w:abstractNumId w:val="17"/>
  </w:num>
  <w:num w:numId="19" w16cid:durableId="164370736">
    <w:abstractNumId w:val="7"/>
  </w:num>
  <w:num w:numId="20" w16cid:durableId="1063792650">
    <w:abstractNumId w:val="36"/>
  </w:num>
  <w:num w:numId="21" w16cid:durableId="743335535">
    <w:abstractNumId w:val="11"/>
  </w:num>
  <w:num w:numId="22" w16cid:durableId="2134126892">
    <w:abstractNumId w:val="3"/>
  </w:num>
  <w:num w:numId="23" w16cid:durableId="285502628">
    <w:abstractNumId w:val="37"/>
  </w:num>
  <w:num w:numId="24" w16cid:durableId="782768011">
    <w:abstractNumId w:val="20"/>
  </w:num>
  <w:num w:numId="25" w16cid:durableId="4481833">
    <w:abstractNumId w:val="29"/>
  </w:num>
  <w:num w:numId="26" w16cid:durableId="1344478564">
    <w:abstractNumId w:val="32"/>
  </w:num>
  <w:num w:numId="27" w16cid:durableId="2052144389">
    <w:abstractNumId w:val="19"/>
  </w:num>
  <w:num w:numId="28" w16cid:durableId="395012180">
    <w:abstractNumId w:val="38"/>
  </w:num>
  <w:num w:numId="29" w16cid:durableId="694889627">
    <w:abstractNumId w:val="23"/>
  </w:num>
  <w:num w:numId="30" w16cid:durableId="18163594">
    <w:abstractNumId w:val="25"/>
  </w:num>
  <w:num w:numId="31" w16cid:durableId="865867872">
    <w:abstractNumId w:val="41"/>
  </w:num>
  <w:num w:numId="32" w16cid:durableId="812597970">
    <w:abstractNumId w:val="24"/>
  </w:num>
  <w:num w:numId="33" w16cid:durableId="351302747">
    <w:abstractNumId w:val="30"/>
  </w:num>
  <w:num w:numId="34" w16cid:durableId="1736775251">
    <w:abstractNumId w:val="31"/>
  </w:num>
  <w:num w:numId="35" w16cid:durableId="631399022">
    <w:abstractNumId w:val="0"/>
  </w:num>
  <w:num w:numId="36" w16cid:durableId="2041473360">
    <w:abstractNumId w:val="33"/>
  </w:num>
  <w:num w:numId="37" w16cid:durableId="217205457">
    <w:abstractNumId w:val="27"/>
  </w:num>
  <w:num w:numId="38" w16cid:durableId="1407528196">
    <w:abstractNumId w:val="18"/>
  </w:num>
  <w:num w:numId="39" w16cid:durableId="866715968">
    <w:abstractNumId w:val="6"/>
  </w:num>
  <w:num w:numId="40" w16cid:durableId="157235758">
    <w:abstractNumId w:val="28"/>
  </w:num>
  <w:num w:numId="41" w16cid:durableId="579605851">
    <w:abstractNumId w:val="9"/>
  </w:num>
  <w:num w:numId="42" w16cid:durableId="764693450">
    <w:abstractNumId w:val="14"/>
  </w:num>
  <w:num w:numId="43" w16cid:durableId="1526017718">
    <w:abstractNumId w:val="34"/>
  </w:num>
  <w:num w:numId="44" w16cid:durableId="19510814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D43"/>
    <w:rsid w:val="000061A2"/>
    <w:rsid w:val="000B111B"/>
    <w:rsid w:val="000B6CC2"/>
    <w:rsid w:val="000C4B3B"/>
    <w:rsid w:val="000F1FFF"/>
    <w:rsid w:val="00177041"/>
    <w:rsid w:val="001836B3"/>
    <w:rsid w:val="00187CAD"/>
    <w:rsid w:val="002703B5"/>
    <w:rsid w:val="00275DD7"/>
    <w:rsid w:val="00284DCE"/>
    <w:rsid w:val="002A3C8F"/>
    <w:rsid w:val="002A5EB3"/>
    <w:rsid w:val="002F35ED"/>
    <w:rsid w:val="00314553"/>
    <w:rsid w:val="003228B4"/>
    <w:rsid w:val="00347B17"/>
    <w:rsid w:val="00351D58"/>
    <w:rsid w:val="003B45C3"/>
    <w:rsid w:val="00407FA2"/>
    <w:rsid w:val="00415B3D"/>
    <w:rsid w:val="00416EF4"/>
    <w:rsid w:val="004710F0"/>
    <w:rsid w:val="004A2D1E"/>
    <w:rsid w:val="004A47BC"/>
    <w:rsid w:val="00515A5A"/>
    <w:rsid w:val="0052450E"/>
    <w:rsid w:val="0054665F"/>
    <w:rsid w:val="005756AA"/>
    <w:rsid w:val="005B0648"/>
    <w:rsid w:val="005D55B3"/>
    <w:rsid w:val="005E7109"/>
    <w:rsid w:val="00641F8A"/>
    <w:rsid w:val="006441A9"/>
    <w:rsid w:val="006602B7"/>
    <w:rsid w:val="006B4B88"/>
    <w:rsid w:val="006C3B9C"/>
    <w:rsid w:val="006C455B"/>
    <w:rsid w:val="006E482B"/>
    <w:rsid w:val="00726DDB"/>
    <w:rsid w:val="007311CB"/>
    <w:rsid w:val="00781DFD"/>
    <w:rsid w:val="007B0F8A"/>
    <w:rsid w:val="007B2F83"/>
    <w:rsid w:val="007C4369"/>
    <w:rsid w:val="007C4B26"/>
    <w:rsid w:val="007E2C45"/>
    <w:rsid w:val="007E3D73"/>
    <w:rsid w:val="007E791C"/>
    <w:rsid w:val="007F08FD"/>
    <w:rsid w:val="008445F5"/>
    <w:rsid w:val="00867D85"/>
    <w:rsid w:val="008824DC"/>
    <w:rsid w:val="008A2D20"/>
    <w:rsid w:val="008B6C4D"/>
    <w:rsid w:val="008C7170"/>
    <w:rsid w:val="008F22CD"/>
    <w:rsid w:val="009102AF"/>
    <w:rsid w:val="009155DC"/>
    <w:rsid w:val="00960C77"/>
    <w:rsid w:val="00963F20"/>
    <w:rsid w:val="009720B1"/>
    <w:rsid w:val="0097372D"/>
    <w:rsid w:val="0099050A"/>
    <w:rsid w:val="009F1D38"/>
    <w:rsid w:val="009F7AC0"/>
    <w:rsid w:val="00A252CB"/>
    <w:rsid w:val="00A26A6A"/>
    <w:rsid w:val="00A4041F"/>
    <w:rsid w:val="00A52DC9"/>
    <w:rsid w:val="00A53D43"/>
    <w:rsid w:val="00A76B7D"/>
    <w:rsid w:val="00AA5CFE"/>
    <w:rsid w:val="00AB2187"/>
    <w:rsid w:val="00B120A3"/>
    <w:rsid w:val="00B51189"/>
    <w:rsid w:val="00BB0266"/>
    <w:rsid w:val="00BE3108"/>
    <w:rsid w:val="00C157EC"/>
    <w:rsid w:val="00C17A59"/>
    <w:rsid w:val="00C36520"/>
    <w:rsid w:val="00C82619"/>
    <w:rsid w:val="00C878B9"/>
    <w:rsid w:val="00CB3D8E"/>
    <w:rsid w:val="00CC3B72"/>
    <w:rsid w:val="00CC6445"/>
    <w:rsid w:val="00CE0F63"/>
    <w:rsid w:val="00CF1A29"/>
    <w:rsid w:val="00D16E2B"/>
    <w:rsid w:val="00D210AE"/>
    <w:rsid w:val="00D6113F"/>
    <w:rsid w:val="00D61F60"/>
    <w:rsid w:val="00DE5265"/>
    <w:rsid w:val="00DF714E"/>
    <w:rsid w:val="00E10016"/>
    <w:rsid w:val="00E55954"/>
    <w:rsid w:val="00E61F72"/>
    <w:rsid w:val="00E65337"/>
    <w:rsid w:val="00E87B22"/>
    <w:rsid w:val="00EB4599"/>
    <w:rsid w:val="00F20438"/>
    <w:rsid w:val="00F31A5F"/>
    <w:rsid w:val="00F52EB8"/>
    <w:rsid w:val="00F82C56"/>
    <w:rsid w:val="00FB4E7D"/>
    <w:rsid w:val="00FC64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8F50E"/>
  <w15:chartTrackingRefBased/>
  <w15:docId w15:val="{80A37C33-223A-4F67-AB82-A820CFB2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599"/>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A53D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53D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53D4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53D4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53D4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53D4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53D4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53D4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53D4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53D4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53D4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53D4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53D4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53D4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53D4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53D4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53D4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53D43"/>
    <w:rPr>
      <w:rFonts w:eastAsiaTheme="majorEastAsia" w:cstheme="majorBidi"/>
      <w:color w:val="272727" w:themeColor="text1" w:themeTint="D8"/>
    </w:rPr>
  </w:style>
  <w:style w:type="paragraph" w:styleId="Ttulo">
    <w:name w:val="Title"/>
    <w:basedOn w:val="Normal"/>
    <w:next w:val="Normal"/>
    <w:link w:val="TtuloCar"/>
    <w:uiPriority w:val="10"/>
    <w:qFormat/>
    <w:rsid w:val="00A53D4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53D4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53D4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53D4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53D43"/>
    <w:pPr>
      <w:spacing w:before="160"/>
      <w:jc w:val="center"/>
    </w:pPr>
    <w:rPr>
      <w:i/>
      <w:iCs/>
      <w:color w:val="404040" w:themeColor="text1" w:themeTint="BF"/>
    </w:rPr>
  </w:style>
  <w:style w:type="character" w:customStyle="1" w:styleId="CitaCar">
    <w:name w:val="Cita Car"/>
    <w:basedOn w:val="Fuentedeprrafopredeter"/>
    <w:link w:val="Cita"/>
    <w:uiPriority w:val="29"/>
    <w:rsid w:val="00A53D43"/>
    <w:rPr>
      <w:i/>
      <w:iCs/>
      <w:color w:val="404040" w:themeColor="text1" w:themeTint="BF"/>
    </w:rPr>
  </w:style>
  <w:style w:type="paragraph" w:styleId="Prrafodelista">
    <w:name w:val="List Paragraph"/>
    <w:basedOn w:val="Normal"/>
    <w:link w:val="PrrafodelistaCar"/>
    <w:uiPriority w:val="34"/>
    <w:qFormat/>
    <w:rsid w:val="00A53D43"/>
    <w:pPr>
      <w:ind w:left="720"/>
      <w:contextualSpacing/>
    </w:pPr>
  </w:style>
  <w:style w:type="character" w:styleId="nfasisintenso">
    <w:name w:val="Intense Emphasis"/>
    <w:basedOn w:val="Fuentedeprrafopredeter"/>
    <w:uiPriority w:val="21"/>
    <w:qFormat/>
    <w:rsid w:val="00A53D43"/>
    <w:rPr>
      <w:i/>
      <w:iCs/>
      <w:color w:val="0F4761" w:themeColor="accent1" w:themeShade="BF"/>
    </w:rPr>
  </w:style>
  <w:style w:type="paragraph" w:styleId="Citadestacada">
    <w:name w:val="Intense Quote"/>
    <w:basedOn w:val="Normal"/>
    <w:next w:val="Normal"/>
    <w:link w:val="CitadestacadaCar"/>
    <w:uiPriority w:val="30"/>
    <w:qFormat/>
    <w:rsid w:val="00A53D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53D43"/>
    <w:rPr>
      <w:i/>
      <w:iCs/>
      <w:color w:val="0F4761" w:themeColor="accent1" w:themeShade="BF"/>
    </w:rPr>
  </w:style>
  <w:style w:type="character" w:styleId="Referenciaintensa">
    <w:name w:val="Intense Reference"/>
    <w:basedOn w:val="Fuentedeprrafopredeter"/>
    <w:uiPriority w:val="32"/>
    <w:qFormat/>
    <w:rsid w:val="00A53D43"/>
    <w:rPr>
      <w:b/>
      <w:bCs/>
      <w:smallCaps/>
      <w:color w:val="0F4761" w:themeColor="accent1" w:themeShade="BF"/>
      <w:spacing w:val="5"/>
    </w:rPr>
  </w:style>
  <w:style w:type="paragraph" w:styleId="Encabezado">
    <w:name w:val="header"/>
    <w:aliases w:val="Encabezado1,encabezado,Encabezado11,encabezado1,Encabezado12,encabezado2,Encabezado111,encabezado11,Encabezado13,encabezado3,Encabezado14,encabezado4,Encabezado15,encabezado5,Encabezado16,encabezado6,Encabezado17,encabezado7,Encabezado18"/>
    <w:basedOn w:val="Normal"/>
    <w:link w:val="EncabezadoCar"/>
    <w:uiPriority w:val="99"/>
    <w:rsid w:val="00A53D43"/>
    <w:pPr>
      <w:tabs>
        <w:tab w:val="center" w:pos="4252"/>
        <w:tab w:val="right" w:pos="8504"/>
      </w:tabs>
    </w:pPr>
  </w:style>
  <w:style w:type="character" w:customStyle="1" w:styleId="EncabezadoCar">
    <w:name w:val="Encabezado Car"/>
    <w:aliases w:val="Encabezado1 Car,encabezado Car,Encabezado11 Car,encabezado1 Car,Encabezado12 Car,encabezado2 Car,Encabezado111 Car,encabezado11 Car,Encabezado13 Car,encabezado3 Car,Encabezado14 Car,encabezado4 Car,Encabezado15 Car,encabezado5 Car"/>
    <w:basedOn w:val="Fuentedeprrafopredeter"/>
    <w:link w:val="Encabezado"/>
    <w:uiPriority w:val="99"/>
    <w:rsid w:val="00A53D43"/>
    <w:rPr>
      <w:rFonts w:ascii="Times New Roman" w:eastAsia="Times New Roman" w:hAnsi="Times New Roman" w:cs="Times New Roman"/>
      <w:kern w:val="0"/>
      <w:lang w:eastAsia="es-ES"/>
      <w14:ligatures w14:val="none"/>
    </w:rPr>
  </w:style>
  <w:style w:type="character" w:customStyle="1" w:styleId="fontstyle01">
    <w:name w:val="fontstyle01"/>
    <w:basedOn w:val="Fuentedeprrafopredeter"/>
    <w:rsid w:val="00A53D43"/>
    <w:rPr>
      <w:rFonts w:ascii="ArialNarrow-Bold" w:hAnsi="ArialNarrow-Bold" w:hint="default"/>
      <w:b/>
      <w:bCs/>
      <w:i w:val="0"/>
      <w:iCs w:val="0"/>
      <w:color w:val="000000"/>
      <w:sz w:val="22"/>
      <w:szCs w:val="22"/>
    </w:rPr>
  </w:style>
  <w:style w:type="table" w:styleId="Tablaconcuadrcula">
    <w:name w:val="Table Grid"/>
    <w:basedOn w:val="Tablanormal"/>
    <w:uiPriority w:val="39"/>
    <w:rsid w:val="00A53D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A53D43"/>
  </w:style>
  <w:style w:type="paragraph" w:styleId="Piedepgina">
    <w:name w:val="footer"/>
    <w:basedOn w:val="Normal"/>
    <w:link w:val="PiedepginaCar"/>
    <w:uiPriority w:val="99"/>
    <w:unhideWhenUsed/>
    <w:rsid w:val="004A47BC"/>
    <w:pPr>
      <w:tabs>
        <w:tab w:val="center" w:pos="4419"/>
        <w:tab w:val="right" w:pos="8838"/>
      </w:tabs>
    </w:pPr>
  </w:style>
  <w:style w:type="character" w:customStyle="1" w:styleId="PiedepginaCar">
    <w:name w:val="Pie de página Car"/>
    <w:basedOn w:val="Fuentedeprrafopredeter"/>
    <w:link w:val="Piedepgina"/>
    <w:uiPriority w:val="99"/>
    <w:rsid w:val="004A47BC"/>
    <w:rPr>
      <w:rFonts w:ascii="Times New Roman" w:eastAsia="Times New Roman" w:hAnsi="Times New Roman" w:cs="Times New Roman"/>
      <w:kern w:val="0"/>
      <w:lang w:eastAsia="es-ES"/>
      <w14:ligatures w14:val="none"/>
    </w:rPr>
  </w:style>
  <w:style w:type="paragraph" w:styleId="NormalWeb">
    <w:name w:val="Normal (Web)"/>
    <w:basedOn w:val="Normal"/>
    <w:uiPriority w:val="99"/>
    <w:unhideWhenUsed/>
    <w:rsid w:val="007B2F83"/>
    <w:pPr>
      <w:spacing w:before="100" w:beforeAutospacing="1" w:after="100" w:afterAutospacing="1"/>
    </w:pPr>
    <w:rPr>
      <w:lang w:eastAsia="es-MX"/>
    </w:rPr>
  </w:style>
  <w:style w:type="character" w:styleId="Textoennegrita">
    <w:name w:val="Strong"/>
    <w:basedOn w:val="Fuentedeprrafopredeter"/>
    <w:uiPriority w:val="22"/>
    <w:qFormat/>
    <w:rsid w:val="002703B5"/>
    <w:rPr>
      <w:b/>
      <w:bCs/>
    </w:rPr>
  </w:style>
  <w:style w:type="character" w:customStyle="1" w:styleId="selected">
    <w:name w:val="selected"/>
    <w:basedOn w:val="Fuentedeprrafopredeter"/>
    <w:rsid w:val="007C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791241">
      <w:bodyDiv w:val="1"/>
      <w:marLeft w:val="0"/>
      <w:marRight w:val="0"/>
      <w:marTop w:val="0"/>
      <w:marBottom w:val="0"/>
      <w:divBdr>
        <w:top w:val="none" w:sz="0" w:space="0" w:color="auto"/>
        <w:left w:val="none" w:sz="0" w:space="0" w:color="auto"/>
        <w:bottom w:val="none" w:sz="0" w:space="0" w:color="auto"/>
        <w:right w:val="none" w:sz="0" w:space="0" w:color="auto"/>
      </w:divBdr>
    </w:div>
    <w:div w:id="139920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7767596-3425-4564-b67a-f62a2c53bb36" xsi:nil="true"/>
    <lcf76f155ced4ddcb4097134ff3c332f xmlns="c5f20ebd-f2ff-482f-a271-5d31b0daa9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86BADE8E262EB4DB369F5BFCA27152F" ma:contentTypeVersion="13" ma:contentTypeDescription="Crear nuevo documento." ma:contentTypeScope="" ma:versionID="da54aad30da6f05b839ec742d222be71">
  <xsd:schema xmlns:xsd="http://www.w3.org/2001/XMLSchema" xmlns:xs="http://www.w3.org/2001/XMLSchema" xmlns:p="http://schemas.microsoft.com/office/2006/metadata/properties" xmlns:ns2="c5f20ebd-f2ff-482f-a271-5d31b0daa9aa" xmlns:ns3="17767596-3425-4564-b67a-f62a2c53bb36" targetNamespace="http://schemas.microsoft.com/office/2006/metadata/properties" ma:root="true" ma:fieldsID="20254e1591e2739bce49e9027983fb93" ns2:_="" ns3:_="">
    <xsd:import namespace="c5f20ebd-f2ff-482f-a271-5d31b0daa9aa"/>
    <xsd:import namespace="17767596-3425-4564-b67a-f62a2c53b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f20ebd-f2ff-482f-a271-5d31b0daa9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2da93c29-63e2-4927-837e-3d78c684b91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767596-3425-4564-b67a-f62a2c53b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fdc70f-cb87-4508-961d-a68b15089b80}" ma:internalName="TaxCatchAll" ma:showField="CatchAllData" ma:web="17767596-3425-4564-b67a-f62a2c53bb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981FB-675A-407A-961E-4216DE0A2A9B}">
  <ds:schemaRefs>
    <ds:schemaRef ds:uri="http://schemas.openxmlformats.org/officeDocument/2006/bibliography"/>
  </ds:schemaRefs>
</ds:datastoreItem>
</file>

<file path=customXml/itemProps2.xml><?xml version="1.0" encoding="utf-8"?>
<ds:datastoreItem xmlns:ds="http://schemas.openxmlformats.org/officeDocument/2006/customXml" ds:itemID="{AEE849C3-4E93-4DC3-B882-817CCF8B61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2751C5-B88F-4906-BA15-BAE296BF7430}">
  <ds:schemaRefs>
    <ds:schemaRef ds:uri="http://schemas.microsoft.com/sharepoint/v3/contenttype/forms"/>
  </ds:schemaRefs>
</ds:datastoreItem>
</file>

<file path=customXml/itemProps4.xml><?xml version="1.0" encoding="utf-8"?>
<ds:datastoreItem xmlns:ds="http://schemas.openxmlformats.org/officeDocument/2006/customXml" ds:itemID="{D32C9D87-F33C-4181-9CB9-7FC3351B9945}"/>
</file>

<file path=docProps/app.xml><?xml version="1.0" encoding="utf-8"?>
<Properties xmlns="http://schemas.openxmlformats.org/officeDocument/2006/extended-properties" xmlns:vt="http://schemas.openxmlformats.org/officeDocument/2006/docPropsVTypes">
  <Template>Normal.dotm</Template>
  <TotalTime>1</TotalTime>
  <Pages>15</Pages>
  <Words>5882</Words>
  <Characters>32354</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 Financiero Fadaptación</dc:creator>
  <cp:keywords/>
  <dc:description/>
  <cp:lastModifiedBy>Fernanda Granada</cp:lastModifiedBy>
  <cp:revision>3</cp:revision>
  <cp:lastPrinted>2025-09-08T00:38:00Z</cp:lastPrinted>
  <dcterms:created xsi:type="dcterms:W3CDTF">2025-09-08T00:38:00Z</dcterms:created>
  <dcterms:modified xsi:type="dcterms:W3CDTF">2025-09-08T00:38:00Z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0x010100A86BADE8E262EB4DB369F5BFCA27152F</vt:lpwstr>
  </property>
</Properties>
</file>